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7"/>
        <w:jc w:val="both"/>
        <w:outlineLvl w:val="0"/>
      </w:pPr>
      <w:r/>
      <w:r/>
    </w:p>
    <w:p>
      <w:pPr>
        <w:pStyle w:val="917"/>
        <w:outlineLvl w:val="0"/>
      </w:pPr>
      <w:r>
        <w:t xml:space="preserve">Зарегистрировано в Минюсте России 7 мая 2020 г. N 58280</w:t>
      </w:r>
      <w:r/>
    </w:p>
    <w:p>
      <w:pPr>
        <w:pStyle w:val="917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917"/>
        <w:jc w:val="both"/>
      </w:pPr>
      <w:r/>
      <w:r/>
    </w:p>
    <w:p>
      <w:pPr>
        <w:pStyle w:val="919"/>
        <w:jc w:val="center"/>
      </w:pPr>
      <w:r>
        <w:t xml:space="preserve">МИНИСТЕРСТВО ФИНАНСОВ РОССИЙСКОЙ ФЕДЕРАЦИИ</w:t>
      </w:r>
      <w:r/>
    </w:p>
    <w:p>
      <w:pPr>
        <w:pStyle w:val="919"/>
        <w:jc w:val="center"/>
      </w:pPr>
      <w:r/>
      <w:r/>
    </w:p>
    <w:p>
      <w:pPr>
        <w:pStyle w:val="919"/>
        <w:jc w:val="center"/>
      </w:pPr>
      <w:r>
        <w:t xml:space="preserve">ФЕДЕРАЛЬНОЕ КАЗНАЧЕЙСТВО</w:t>
      </w:r>
      <w:r/>
    </w:p>
    <w:p>
      <w:pPr>
        <w:pStyle w:val="919"/>
        <w:jc w:val="center"/>
      </w:pPr>
      <w:r/>
      <w:r/>
    </w:p>
    <w:p>
      <w:pPr>
        <w:pStyle w:val="919"/>
        <w:jc w:val="center"/>
      </w:pPr>
      <w:r>
        <w:t xml:space="preserve">ПРИКАЗ</w:t>
      </w:r>
      <w:r/>
    </w:p>
    <w:p>
      <w:pPr>
        <w:pStyle w:val="919"/>
        <w:jc w:val="center"/>
      </w:pPr>
      <w:r>
        <w:t xml:space="preserve">от 1 апреля 2020 г. N 15н</w:t>
      </w:r>
      <w:r/>
    </w:p>
    <w:p>
      <w:pPr>
        <w:pStyle w:val="919"/>
        <w:jc w:val="center"/>
      </w:pPr>
      <w:r/>
      <w:r/>
    </w:p>
    <w:p>
      <w:pPr>
        <w:pStyle w:val="919"/>
        <w:jc w:val="center"/>
      </w:pPr>
      <w:r>
        <w:t xml:space="preserve">О ПОРЯДКЕ ОТКРЫТИЯ КАЗНАЧЕЙСКИХ СЧЕТОВ</w:t>
      </w:r>
      <w:r/>
    </w:p>
    <w:p>
      <w:pPr>
        <w:pStyle w:val="917"/>
        <w:spacing w:after="1"/>
      </w:pPr>
      <w:r/>
      <w:r/>
    </w:p>
    <w:tbl>
      <w:tblPr>
        <w:tblW w:w="5086" w:type="pct"/>
        <w:tblInd w:w="-176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236"/>
        <w:gridCol w:w="113"/>
        <w:gridCol w:w="9921"/>
        <w:gridCol w:w="113"/>
      </w:tblGrid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6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Список изменяющих документов</w:t>
            </w:r>
            <w:r/>
          </w:p>
          <w:p>
            <w:pPr>
              <w:pStyle w:val="917"/>
              <w:jc w:val="center"/>
            </w:pPr>
            <w:r>
              <w:t xml:space="preserve">(в ред. Приказов Казначейства России от 28.06.2021 N 23н,</w:t>
            </w:r>
            <w:r/>
          </w:p>
          <w:p>
            <w:pPr>
              <w:pStyle w:val="917"/>
              <w:jc w:val="center"/>
            </w:pPr>
            <w:r>
              <w:t xml:space="preserve">от 13.10.2021 N 29н</w:t>
            </w:r>
            <w:r>
              <w:t xml:space="preserve">, от 28.12.2022 N 38н, от 24.12.2024 N 24н,</w:t>
            </w:r>
            <w:r/>
          </w:p>
          <w:p>
            <w:pPr>
              <w:pStyle w:val="917"/>
              <w:jc w:val="center"/>
            </w:pPr>
            <w:r>
              <w:t xml:space="preserve">от 28.11.2025 N 22н)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</w:tbl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>
        <w:t xml:space="preserve">В целях реализации пункта 3 статьи 242.14 Бюджетного кодекса Российской Федерации (Собрание законодательства Российской Федерации, 1998, N 31, ст. 3823; 2019, N 52, ст. 7797) приказываю:</w:t>
      </w:r>
      <w:r/>
    </w:p>
    <w:p>
      <w:pPr>
        <w:pStyle w:val="917"/>
        <w:ind w:firstLine="540"/>
        <w:jc w:val="both"/>
        <w:spacing w:before="240"/>
      </w:pPr>
      <w:r>
        <w:t xml:space="preserve">1. Утвердить прилагаемый </w:t>
      </w:r>
      <w:r>
        <w:t xml:space="preserve">Порядок</w:t>
      </w:r>
      <w:r>
        <w:t xml:space="preserve"> открытия казначейских счетов.</w:t>
      </w:r>
      <w:r/>
    </w:p>
    <w:p>
      <w:pPr>
        <w:pStyle w:val="917"/>
        <w:ind w:firstLine="540"/>
        <w:jc w:val="both"/>
        <w:spacing w:before="240"/>
      </w:pPr>
      <w:r>
        <w:t xml:space="preserve">2. Настоящий приказ вступает в силу с 1 января 2021 года.</w:t>
      </w:r>
      <w:r/>
    </w:p>
    <w:p>
      <w:pPr>
        <w:pStyle w:val="917"/>
        <w:jc w:val="both"/>
      </w:pPr>
      <w:r/>
      <w:r/>
    </w:p>
    <w:p>
      <w:pPr>
        <w:pStyle w:val="917"/>
        <w:jc w:val="right"/>
      </w:pPr>
      <w:r>
        <w:t xml:space="preserve">Руководитель</w:t>
      </w:r>
      <w:r/>
    </w:p>
    <w:p>
      <w:pPr>
        <w:pStyle w:val="917"/>
        <w:jc w:val="right"/>
      </w:pPr>
      <w:r>
        <w:t xml:space="preserve">Р.Е.АРТЮХИН</w:t>
      </w:r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right"/>
        <w:outlineLvl w:val="0"/>
      </w:pPr>
      <w:r>
        <w:t xml:space="preserve">Утвержден</w:t>
      </w:r>
      <w:r/>
    </w:p>
    <w:p>
      <w:pPr>
        <w:pStyle w:val="917"/>
        <w:jc w:val="right"/>
      </w:pPr>
      <w:r>
        <w:t xml:space="preserve">приказом Федерального казначе</w:t>
      </w:r>
      <w:r>
        <w:t xml:space="preserve">йства</w:t>
      </w:r>
      <w:r/>
    </w:p>
    <w:p>
      <w:pPr>
        <w:pStyle w:val="917"/>
        <w:jc w:val="right"/>
      </w:pPr>
      <w:r>
        <w:t xml:space="preserve">от 1 апреля 2020 г. N 15н</w:t>
      </w:r>
      <w:r/>
    </w:p>
    <w:p>
      <w:pPr>
        <w:pStyle w:val="917"/>
        <w:jc w:val="both"/>
      </w:pPr>
      <w:r/>
      <w:r/>
    </w:p>
    <w:p>
      <w:pPr>
        <w:pStyle w:val="919"/>
        <w:jc w:val="center"/>
      </w:pPr>
      <w:r/>
      <w:bookmarkStart w:id="0" w:name="P32"/>
      <w:r/>
      <w:bookmarkEnd w:id="0"/>
      <w:r>
        <w:t xml:space="preserve">ПОРЯДОК ОТКРЫТИЯ КАЗНАЧЕЙСКИХ СЧЕТОВ</w:t>
      </w:r>
      <w:r/>
    </w:p>
    <w:p>
      <w:pPr>
        <w:pStyle w:val="917"/>
        <w:spacing w:after="1"/>
      </w:pPr>
      <w:r/>
      <w:r/>
    </w:p>
    <w:tbl>
      <w:tblPr>
        <w:tblW w:w="5086" w:type="pct"/>
        <w:tblInd w:w="-176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236"/>
        <w:gridCol w:w="113"/>
        <w:gridCol w:w="9921"/>
        <w:gridCol w:w="113"/>
      </w:tblGrid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6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Список изменяющих документов</w:t>
            </w:r>
            <w:r/>
          </w:p>
          <w:p>
            <w:pPr>
              <w:pStyle w:val="917"/>
              <w:jc w:val="center"/>
            </w:pPr>
            <w:r>
              <w:t xml:space="preserve">(в ред. Приказов Казначейства России от 28.06.2021 N 23н,</w:t>
            </w:r>
            <w:r/>
          </w:p>
          <w:p>
            <w:pPr>
              <w:pStyle w:val="917"/>
              <w:jc w:val="center"/>
            </w:pPr>
            <w:r>
              <w:t xml:space="preserve">от 13.10.2021 N 29н, от 28.12.2022 N 38н, от 24.12.2024 N 24н,</w:t>
            </w:r>
            <w:r/>
          </w:p>
          <w:p>
            <w:pPr>
              <w:pStyle w:val="917"/>
              <w:jc w:val="center"/>
            </w:pPr>
            <w:r>
              <w:t xml:space="preserve">от 28.11.2025 N 22н)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</w:tbl>
    <w:p>
      <w:pPr>
        <w:pStyle w:val="917"/>
        <w:jc w:val="both"/>
      </w:pPr>
      <w:r/>
      <w:r/>
    </w:p>
    <w:p>
      <w:pPr>
        <w:pStyle w:val="919"/>
        <w:jc w:val="center"/>
        <w:outlineLvl w:val="1"/>
      </w:pPr>
      <w:r>
        <w:t xml:space="preserve">I. Общие положения</w:t>
      </w:r>
      <w:r/>
    </w:p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>
        <w:t xml:space="preserve">1. Настоящий Порядок открытия казначейских счетов (далее - Порядок) разработан на основании пункта 3 статьи 242.14 Бюджетного кодекса Российской Федерации (Собрание законодательства Российской Федерации, 1998, N 31, ст. 3823; 2019, N 52</w:t>
      </w:r>
      <w:r>
        <w:t xml:space="preserve">, ст. 7797) и </w:t>
      </w:r>
      <w:r>
        <w:t xml:space="preserve">устанавливает порядок открытия казначейских счетов в валюте Российской Федерации и в иностранных валютах.</w:t>
      </w:r>
      <w:r/>
    </w:p>
    <w:p>
      <w:pPr>
        <w:pStyle w:val="917"/>
        <w:ind w:firstLine="540"/>
        <w:jc w:val="both"/>
        <w:spacing w:before="240"/>
      </w:pPr>
      <w:r/>
      <w:bookmarkStart w:id="1" w:name="P41"/>
      <w:r/>
      <w:bookmarkEnd w:id="1"/>
      <w:r>
        <w:t xml:space="preserve">2. В территориальных органах Федерального казначейства открываются следующие виды казначейских счетов:</w:t>
      </w:r>
      <w:r/>
    </w:p>
    <w:p>
      <w:pPr>
        <w:pStyle w:val="917"/>
        <w:ind w:firstLine="540"/>
        <w:jc w:val="both"/>
        <w:spacing w:before="240"/>
      </w:pPr>
      <w:r>
        <w:t xml:space="preserve">а) единый счет бюджета;</w:t>
      </w:r>
      <w:r/>
    </w:p>
    <w:p>
      <w:pPr>
        <w:pStyle w:val="917"/>
        <w:ind w:firstLine="540"/>
        <w:jc w:val="both"/>
        <w:spacing w:before="240"/>
      </w:pPr>
      <w:r>
        <w:t xml:space="preserve">б) казнач</w:t>
      </w:r>
      <w:r>
        <w:t xml:space="preserve">ейский счет для осуществления и отражения операций по учету и распределению поступлений;</w:t>
      </w:r>
      <w:r/>
    </w:p>
    <w:p>
      <w:pPr>
        <w:pStyle w:val="917"/>
        <w:ind w:firstLine="540"/>
        <w:jc w:val="both"/>
        <w:spacing w:before="240"/>
      </w:pPr>
      <w:r>
        <w:t xml:space="preserve">в) казначейский счет для осуществления и отражения операций с денежными средствами, поступающими во временное распоряжение;</w:t>
      </w:r>
      <w:r/>
    </w:p>
    <w:p>
      <w:pPr>
        <w:pStyle w:val="917"/>
        <w:ind w:firstLine="540"/>
        <w:jc w:val="both"/>
        <w:spacing w:before="240"/>
      </w:pPr>
      <w:r>
        <w:t xml:space="preserve">г) казначейский счет для осуществления и отражения операций с денежными средствами бюджетных и автономных учреждений;</w:t>
      </w:r>
      <w:r/>
    </w:p>
    <w:p>
      <w:pPr>
        <w:pStyle w:val="917"/>
        <w:ind w:firstLine="540"/>
        <w:jc w:val="both"/>
        <w:spacing w:before="240"/>
      </w:pPr>
      <w:r>
        <w:t xml:space="preserve">д) казначейский счет для осуществления и отражения операций с денежными средствами получателей средств из бюджета;</w:t>
      </w:r>
      <w:r/>
    </w:p>
    <w:p>
      <w:pPr>
        <w:pStyle w:val="917"/>
        <w:ind w:firstLine="540"/>
        <w:jc w:val="both"/>
        <w:spacing w:before="240"/>
      </w:pPr>
      <w:r>
        <w:t xml:space="preserve">е) казначейский счет дл</w:t>
      </w:r>
      <w:r>
        <w:t xml:space="preserve">я осуществления и отражения операций с денежными средствами участников казначейского сопровождения;</w:t>
      </w:r>
      <w:r/>
    </w:p>
    <w:p>
      <w:pPr>
        <w:pStyle w:val="917"/>
        <w:ind w:firstLine="540"/>
        <w:jc w:val="both"/>
        <w:spacing w:before="240"/>
      </w:pPr>
      <w:r>
        <w:t xml:space="preserve">ж) казначейский счет для осуществления и отражения операций с денежными средствами Фонда национального благосостояния;</w:t>
      </w:r>
      <w:r/>
    </w:p>
    <w:p>
      <w:pPr>
        <w:pStyle w:val="917"/>
        <w:ind w:firstLine="540"/>
        <w:jc w:val="both"/>
        <w:spacing w:before="240"/>
      </w:pPr>
      <w:r>
        <w:t xml:space="preserve">з) иные казначейские счета для осущес</w:t>
      </w:r>
      <w:r>
        <w:t xml:space="preserve">твления и отражения операций в случаях, установленных Бюджетным кодексом Российской Федерации, а также иными законодательными актами Российской Федерации, нормативными правовыми актами Правительства Российской Федерации, Министерства финансов Российской Фе</w:t>
      </w:r>
      <w:r>
        <w:t xml:space="preserve">дерации и Федерального казначейства.</w:t>
      </w:r>
      <w:r/>
    </w:p>
    <w:p>
      <w:pPr>
        <w:pStyle w:val="917"/>
        <w:jc w:val="both"/>
      </w:pPr>
      <w:r>
        <w:t xml:space="preserve">(п. 2 в ред. Приказа Казначейства России от 13.10.2021 N 29н)</w:t>
      </w:r>
      <w:r/>
    </w:p>
    <w:p>
      <w:pPr>
        <w:pStyle w:val="917"/>
        <w:ind w:firstLine="540"/>
        <w:jc w:val="both"/>
        <w:spacing w:before="240"/>
      </w:pPr>
      <w:r>
        <w:t xml:space="preserve">3. Казначейские счета открываются в целях казначейского обслуживания:</w:t>
      </w:r>
      <w:r/>
    </w:p>
    <w:p>
      <w:pPr>
        <w:pStyle w:val="917"/>
        <w:ind w:firstLine="540"/>
        <w:jc w:val="both"/>
        <w:spacing w:before="240"/>
      </w:pPr>
      <w:r>
        <w:t xml:space="preserve">а) исполнения федерального бюджета, бюджетов субъектов Российской Федерации, местных бю</w:t>
      </w:r>
      <w:r>
        <w:t xml:space="preserve">джетов, бюджетов государственных внебюджетных фондов;</w:t>
      </w:r>
      <w:r/>
    </w:p>
    <w:p>
      <w:pPr>
        <w:pStyle w:val="917"/>
        <w:ind w:firstLine="540"/>
        <w:jc w:val="both"/>
        <w:spacing w:before="240"/>
      </w:pPr>
      <w:r>
        <w:t xml:space="preserve">б) поступлений в бюджеты бюджетной системы Российской Федерации и их распределения между бюджетами бюджетной системы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в) операций со средствами, поступающими во временное распоряжение получателей средств федерального бюджета, бюджета субъекта Российской Федерации (местного бюджета), бюджета государственного внебюджетного фонда;</w:t>
      </w:r>
      <w:r/>
    </w:p>
    <w:p>
      <w:pPr>
        <w:pStyle w:val="917"/>
        <w:ind w:firstLine="540"/>
        <w:jc w:val="both"/>
        <w:spacing w:before="240"/>
      </w:pPr>
      <w:r>
        <w:t xml:space="preserve">г) операций со средствами бюджетных и автоно</w:t>
      </w:r>
      <w:r>
        <w:t xml:space="preserve">мных учреждений;</w:t>
      </w:r>
      <w:r/>
    </w:p>
    <w:p>
      <w:pPr>
        <w:pStyle w:val="917"/>
        <w:ind w:firstLine="540"/>
        <w:jc w:val="both"/>
        <w:spacing w:before="240"/>
      </w:pPr>
      <w:r>
        <w:t xml:space="preserve">д) операций со средствами получателей средств из бюджета;</w:t>
      </w:r>
      <w:r/>
    </w:p>
    <w:p>
      <w:pPr>
        <w:pStyle w:val="917"/>
        <w:ind w:firstLine="540"/>
        <w:jc w:val="both"/>
        <w:spacing w:before="240"/>
      </w:pPr>
      <w:r>
        <w:t xml:space="preserve">е) операций со средствами участников казначейского сопровождения;</w:t>
      </w:r>
      <w:r/>
    </w:p>
    <w:p>
      <w:pPr>
        <w:pStyle w:val="917"/>
        <w:ind w:firstLine="540"/>
        <w:jc w:val="both"/>
        <w:spacing w:before="240"/>
      </w:pPr>
      <w:r>
        <w:t xml:space="preserve">ж) операций со средствами Фонда национального благосостояния;</w:t>
      </w:r>
      <w:r/>
    </w:p>
    <w:p>
      <w:pPr>
        <w:pStyle w:val="917"/>
        <w:ind w:firstLine="540"/>
        <w:jc w:val="both"/>
        <w:spacing w:before="240"/>
      </w:pPr>
      <w:r>
        <w:t xml:space="preserve">з) операций в случаях, установленных Бюджетным кодекс</w:t>
      </w:r>
      <w:r>
        <w:t xml:space="preserve">ом Российской Федерации, а также иными законодательными актами Российской Федерации, нормативными правовыми актами Правительства Российской Федерации, Министерства финансов Российской Федерации и Федерального казначейства.</w:t>
      </w:r>
      <w:r/>
    </w:p>
    <w:p>
      <w:pPr>
        <w:pStyle w:val="917"/>
        <w:jc w:val="both"/>
      </w:pPr>
      <w:r>
        <w:t xml:space="preserve">(п. 3 в ред. Приказа Казначейства</w:t>
      </w:r>
      <w:r>
        <w:t xml:space="preserve"> России от 13.10.2021 N 29н)</w:t>
      </w:r>
      <w:r/>
    </w:p>
    <w:p>
      <w:pPr>
        <w:pStyle w:val="917"/>
        <w:ind w:firstLine="540"/>
        <w:jc w:val="both"/>
        <w:spacing w:before="240"/>
      </w:pPr>
      <w:r>
        <w:t xml:space="preserve">4. Единый счет бюджета открывается:</w:t>
      </w:r>
      <w:r/>
    </w:p>
    <w:p>
      <w:pPr>
        <w:pStyle w:val="917"/>
        <w:ind w:firstLine="540"/>
        <w:jc w:val="both"/>
        <w:spacing w:before="240"/>
      </w:pPr>
      <w:r>
        <w:t xml:space="preserve">территориальному органу Федерального казначейства (Федеральному казначейству) - для осуществления и отражения операций по исполнению федерального бюджета;</w:t>
      </w:r>
      <w:r/>
    </w:p>
    <w:p>
      <w:pPr>
        <w:pStyle w:val="917"/>
        <w:jc w:val="both"/>
      </w:pPr>
      <w:r>
        <w:t xml:space="preserve">(в ред. Приказа Казначейства России </w:t>
      </w:r>
      <w:r>
        <w:t xml:space="preserve">от 28.06.2021 N 23н)</w:t>
      </w:r>
      <w:r/>
    </w:p>
    <w:p>
      <w:pPr>
        <w:pStyle w:val="917"/>
        <w:ind w:firstLine="540"/>
        <w:jc w:val="both"/>
        <w:spacing w:before="240"/>
      </w:pPr>
      <w:r>
        <w:t xml:space="preserve">финансовому органу субъекта Российской Федерации (муниципального образования) - для осуществления и отражения операций по исполнению бюджета субъекта Российской Федерации (местного бюджета);</w:t>
      </w:r>
      <w:r/>
    </w:p>
    <w:p>
      <w:pPr>
        <w:pStyle w:val="917"/>
        <w:ind w:firstLine="540"/>
        <w:jc w:val="both"/>
        <w:spacing w:before="240"/>
      </w:pPr>
      <w:r>
        <w:t xml:space="preserve">органу управления государственным внебюджетн</w:t>
      </w:r>
      <w:r>
        <w:t xml:space="preserve">ым фондом - для осуществления и отражения операций по исполнению бюджета государственного внебюджетного фонда.</w:t>
      </w:r>
      <w:r/>
    </w:p>
    <w:p>
      <w:pPr>
        <w:pStyle w:val="917"/>
        <w:ind w:firstLine="540"/>
        <w:jc w:val="both"/>
        <w:spacing w:before="240"/>
      </w:pPr>
      <w:r>
        <w:t xml:space="preserve">5. Казначейский счет для осуществления и отражения операций по учету и распределению поступлений открывается территориальному органу Федерального</w:t>
      </w:r>
      <w:r>
        <w:t xml:space="preserve"> казначейства.</w:t>
      </w:r>
      <w:r/>
    </w:p>
    <w:p>
      <w:pPr>
        <w:pStyle w:val="917"/>
        <w:ind w:firstLine="540"/>
        <w:jc w:val="both"/>
        <w:spacing w:before="240"/>
      </w:pPr>
      <w:r>
        <w:t xml:space="preserve">6. Казначейский счет для осуществления и отражения операций с денежными средствами, поступающими во временное распоряжение получателей средств федерального бюджета, бюджета субъекта Российской Федерации (местного бюджета), бюджета государств</w:t>
      </w:r>
      <w:r>
        <w:t xml:space="preserve">енного внебюджетного фонда открывается территориальному органу Федерального казначейства, финансовому органу субъекта Российской Федерации (муниципального образования), органу управления государственным внебюджетным фондом.</w:t>
      </w:r>
      <w:r/>
    </w:p>
    <w:p>
      <w:pPr>
        <w:pStyle w:val="917"/>
        <w:ind w:firstLine="540"/>
        <w:jc w:val="both"/>
        <w:spacing w:before="240"/>
      </w:pPr>
      <w:r>
        <w:t xml:space="preserve">7. Казначейский счет для осущест</w:t>
      </w:r>
      <w:r>
        <w:t xml:space="preserve">вления и отражения операций с денежными средствами бюджетных и автономных учреждений открывается:</w:t>
      </w:r>
      <w:r/>
    </w:p>
    <w:p>
      <w:pPr>
        <w:pStyle w:val="917"/>
        <w:ind w:firstLine="540"/>
        <w:jc w:val="both"/>
        <w:spacing w:before="240"/>
      </w:pPr>
      <w:r>
        <w:t xml:space="preserve">территориальному органу Федерального казначейства, органу управления государственным внебюджетным фондом - для осуществления и отражения операций с денежными </w:t>
      </w:r>
      <w:r>
        <w:t xml:space="preserve">средствами, поступающими федеральным бюджетным и автономным учреждениям;</w:t>
      </w:r>
      <w:r/>
    </w:p>
    <w:p>
      <w:pPr>
        <w:pStyle w:val="917"/>
        <w:ind w:firstLine="540"/>
        <w:jc w:val="both"/>
        <w:spacing w:before="240"/>
      </w:pPr>
      <w:r>
        <w:t xml:space="preserve">финансовому органу субъекта Российской Федерации (муниципального образования) - для осуществления и отражения операций с денежными средствами, поступающими бюджетным учреждениям субъе</w:t>
      </w:r>
      <w:r>
        <w:t xml:space="preserve">ктов Российской Федерации (муниципальным бюджетным учреждениям), автономным учреждениям субъектов Российской Федерации (муниципальным автономным учреждениям).</w:t>
      </w:r>
      <w:r/>
    </w:p>
    <w:p>
      <w:pPr>
        <w:pStyle w:val="917"/>
        <w:ind w:firstLine="540"/>
        <w:jc w:val="both"/>
        <w:spacing w:before="240"/>
      </w:pPr>
      <w:r>
        <w:t xml:space="preserve">8. Казначейский счет для осуществления и отражения операций с денежными средствами получателей ср</w:t>
      </w:r>
      <w:r>
        <w:t xml:space="preserve">едств из бюджета открывается:</w:t>
      </w:r>
      <w:r/>
    </w:p>
    <w:p>
      <w:pPr>
        <w:pStyle w:val="917"/>
        <w:jc w:val="both"/>
      </w:pPr>
      <w:r>
        <w:t xml:space="preserve">(в ред. Приказа Казначейства России от 13.10.2021 N 29н)</w:t>
      </w:r>
      <w:r/>
    </w:p>
    <w:p>
      <w:pPr>
        <w:pStyle w:val="917"/>
        <w:ind w:firstLine="540"/>
        <w:jc w:val="both"/>
        <w:spacing w:before="240"/>
      </w:pPr>
      <w:r>
        <w:t xml:space="preserve">территориальному органу Федерального казначейства - для осуществления и отражения операций с денежными средствами, поступающими получателям средств из бюджета источником финансового обеспечения которых являются средства федерального бюджета;</w:t>
      </w:r>
      <w:r/>
    </w:p>
    <w:p>
      <w:pPr>
        <w:pStyle w:val="917"/>
        <w:jc w:val="both"/>
      </w:pPr>
      <w:r>
        <w:t xml:space="preserve">(в ред. Приказ</w:t>
      </w:r>
      <w:r>
        <w:t xml:space="preserve">а Казначейства России от 13.10.2021 N 29н)</w:t>
      </w:r>
      <w:r/>
    </w:p>
    <w:p>
      <w:pPr>
        <w:pStyle w:val="917"/>
        <w:ind w:firstLine="540"/>
        <w:jc w:val="both"/>
        <w:spacing w:before="240"/>
      </w:pPr>
      <w:r>
        <w:t xml:space="preserve">финансовому органу субъекта Российской Федерации (муниципального образования) - для </w:t>
      </w:r>
      <w:r>
        <w:t xml:space="preserve">осуществления и отражения операций с денежными средствами, поступающими получателям средств из бюджета источником финансового обе</w:t>
      </w:r>
      <w:r>
        <w:t xml:space="preserve">спечения которых являются средства бюджета субъекта Российской Федерации (местного бюджета).</w:t>
      </w:r>
      <w:r/>
    </w:p>
    <w:p>
      <w:pPr>
        <w:pStyle w:val="917"/>
        <w:jc w:val="both"/>
      </w:pPr>
      <w:r>
        <w:t xml:space="preserve">(в ред. Приказа Казначейства России от 13.10.2021 N 29н)</w:t>
      </w:r>
      <w:r/>
    </w:p>
    <w:p>
      <w:pPr>
        <w:pStyle w:val="917"/>
        <w:ind w:firstLine="540"/>
        <w:jc w:val="both"/>
        <w:spacing w:before="240"/>
      </w:pPr>
      <w:r>
        <w:t xml:space="preserve">8.1. Казначейский счет для осуществления и отражения операций с денежными средствами участников казначейск</w:t>
      </w:r>
      <w:r>
        <w:t xml:space="preserve">ого сопровождения открывается:</w:t>
      </w:r>
      <w:r/>
    </w:p>
    <w:p>
      <w:pPr>
        <w:pStyle w:val="917"/>
        <w:ind w:firstLine="540"/>
        <w:jc w:val="both"/>
        <w:spacing w:before="240"/>
      </w:pPr>
      <w:r>
        <w:t xml:space="preserve">территориальному органу Федерального казначейства - для осуществления и отражения операций с денежными средствами участников казначейского сопровождения, источником финансового обеспечения которых являются средства федерально</w:t>
      </w:r>
      <w:r>
        <w:t xml:space="preserve">го бюджета;</w:t>
      </w:r>
      <w:r/>
    </w:p>
    <w:p>
      <w:pPr>
        <w:pStyle w:val="917"/>
        <w:ind w:firstLine="540"/>
        <w:jc w:val="both"/>
        <w:spacing w:before="240"/>
      </w:pPr>
      <w:r>
        <w:t xml:space="preserve">финансовому органу субъекта Российской Федерации (муниципального образования) - для осуществления и отражения операций с денежными средствами участников казначейского сопровождения, источником финансового обеспечения которых являются средства б</w:t>
      </w:r>
      <w:r>
        <w:t xml:space="preserve">юджета субъекта Российской Федерации (местного бюджета).</w:t>
      </w:r>
      <w:r/>
    </w:p>
    <w:p>
      <w:pPr>
        <w:pStyle w:val="917"/>
        <w:jc w:val="both"/>
      </w:pPr>
      <w:r>
        <w:t xml:space="preserve">(</w:t>
      </w:r>
      <w:r>
        <w:t xml:space="preserve">пп</w:t>
      </w:r>
      <w:r>
        <w:t xml:space="preserve">. 8.1 введен Приказом Казначейства России от 13.10.2021 N 29н)</w:t>
      </w:r>
      <w:r/>
    </w:p>
    <w:p>
      <w:pPr>
        <w:pStyle w:val="917"/>
        <w:ind w:firstLine="540"/>
        <w:jc w:val="both"/>
        <w:spacing w:before="240"/>
      </w:pPr>
      <w:r>
        <w:t xml:space="preserve">9. Казначейский счет для осуществления и отражения операций с денежными средствами Фонда национального благосостояния открывается тер</w:t>
      </w:r>
      <w:r>
        <w:t xml:space="preserve">риториальному органу Федерального казначейства (Федеральному казначейству).</w:t>
      </w:r>
      <w:r/>
    </w:p>
    <w:p>
      <w:pPr>
        <w:pStyle w:val="917"/>
        <w:jc w:val="both"/>
      </w:pPr>
      <w:r>
        <w:t xml:space="preserve">(в ред. Приказа Казначейства России от 28.06.2021 N 23н)</w:t>
      </w:r>
      <w:r/>
    </w:p>
    <w:p>
      <w:pPr>
        <w:pStyle w:val="917"/>
        <w:ind w:firstLine="540"/>
        <w:jc w:val="both"/>
        <w:spacing w:before="240"/>
      </w:pPr>
      <w:r>
        <w:t xml:space="preserve">10. Казначейские счета в иностранных валютах открываются территориальным органам Федерального казначейства и органам управл</w:t>
      </w:r>
      <w:r>
        <w:t xml:space="preserve">ения государственными внебюджетными фондами.</w:t>
      </w:r>
      <w:r/>
    </w:p>
    <w:p>
      <w:pPr>
        <w:pStyle w:val="917"/>
        <w:ind w:firstLine="540"/>
        <w:jc w:val="both"/>
        <w:spacing w:before="240"/>
      </w:pPr>
      <w:r>
        <w:t xml:space="preserve">11. Допускается открытие территориальному органу Федерального казначейства (Федеральному казначейству), финансовому органу субъекта Российской Федерации (муниципального образования), органу управления государств</w:t>
      </w:r>
      <w:r>
        <w:t xml:space="preserve">енным внебюджетным фондом нескольких казначейских счетов одного вида.</w:t>
      </w:r>
      <w:r/>
    </w:p>
    <w:p>
      <w:pPr>
        <w:pStyle w:val="917"/>
        <w:jc w:val="both"/>
      </w:pPr>
      <w:r>
        <w:t xml:space="preserve">(в ред. Приказа Казначейства России от 28.06.2021 N 23н)</w:t>
      </w:r>
      <w:r/>
    </w:p>
    <w:p>
      <w:pPr>
        <w:pStyle w:val="917"/>
        <w:ind w:firstLine="540"/>
        <w:jc w:val="both"/>
        <w:spacing w:before="240"/>
      </w:pPr>
      <w:r>
        <w:t xml:space="preserve">11(1). В случае перераспределения полномочий между территориальными органами Федерального казначейства, казначейские счета открыв</w:t>
      </w:r>
      <w:r>
        <w:t xml:space="preserve">аются финансовому органу субъекта Российской Федерации (муниципального образования), органу управления государственным внебюджетным фондом в территориальном органе Федерального казначейства, обеспечивающем исполнение распоряжений о совершении казначейского</w:t>
      </w:r>
      <w:r>
        <w:t xml:space="preserve"> платежа.</w:t>
      </w:r>
      <w:r/>
    </w:p>
    <w:p>
      <w:pPr>
        <w:pStyle w:val="917"/>
        <w:ind w:firstLine="540"/>
        <w:jc w:val="both"/>
        <w:spacing w:before="240"/>
      </w:pPr>
      <w:r>
        <w:t xml:space="preserve">Ранее открытые финансовому органу субъекта Российской Федерации (муниципального образования), органу управления государственным внебюджетным фондом казначейские счета в территориальных органах Федерального казначейства, обеспечивавших исполнение </w:t>
      </w:r>
      <w:r>
        <w:t xml:space="preserve">распоряжений о совершении казначейского платежа до перераспределения полномочий, закрываются в порядке, предусмотренном настоящим приказом.</w:t>
      </w:r>
      <w:r/>
    </w:p>
    <w:p>
      <w:pPr>
        <w:pStyle w:val="917"/>
        <w:jc w:val="both"/>
      </w:pPr>
      <w:r>
        <w:t xml:space="preserve">(п. 11(1) введен Приказом Казначейства России от 24.12.2024 N 24н)</w:t>
      </w:r>
      <w:r/>
    </w:p>
    <w:p>
      <w:pPr>
        <w:pStyle w:val="917"/>
        <w:ind w:firstLine="540"/>
        <w:jc w:val="both"/>
        <w:spacing w:before="240"/>
      </w:pPr>
      <w:r>
        <w:t xml:space="preserve">12. При открытии, ведении и закрытии казначейских</w:t>
      </w:r>
      <w:r>
        <w:t xml:space="preserve"> счетов обмен документами с территориальным органом Федерального казначейства осуществляется в электронном виде с применением средств электронной подписи в соответствии с законодательством Российской Федерации на основании договора (соглашения) об обмене э</w:t>
      </w:r>
      <w:r>
        <w:t xml:space="preserve">лектронными документами, заключенного между финансовым органом субъекта Российской Федерации (муниципального образования), органом управления государственным внебюджетным фондом и территориальным </w:t>
      </w:r>
      <w:r>
        <w:t xml:space="preserve">органом Федерального казначейства.</w:t>
      </w:r>
      <w:r/>
    </w:p>
    <w:p>
      <w:pPr>
        <w:pStyle w:val="917"/>
        <w:ind w:firstLine="540"/>
        <w:jc w:val="both"/>
        <w:spacing w:before="240"/>
      </w:pPr>
      <w:r/>
      <w:bookmarkStart w:id="2" w:name="P90"/>
      <w:r/>
      <w:bookmarkEnd w:id="2"/>
      <w:r>
        <w:t xml:space="preserve">При осуществлении докумен</w:t>
      </w:r>
      <w:r>
        <w:t xml:space="preserve">тооборота в государственных информационных системах, оператором которых является Федеральное казначейство (далее - государственные информационные системы Федерального казначейства), полномочия представителя финансового органа субъекта Российской Федерации </w:t>
      </w:r>
      <w:r>
        <w:t xml:space="preserve">(муниципального образования), органа управления государственным внебюджетным фондом, территориального органа Федерального казначейства (за исключением руководителя или иного лица, имеющего право в соответствии с законодательством Российской Федерации дейст</w:t>
      </w:r>
      <w:r>
        <w:t xml:space="preserve">вовать от имени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 без доверенности), подписавшего документ усиленной квали</w:t>
      </w:r>
      <w:r>
        <w:t xml:space="preserve">фицированной электронной подписью, подтверждаются доверенностью в электронной форме в машиночитаемом виде, выданной в соответствии с требованиями Федерального закона от 6 апреля 2011 г. N 63-ФЗ "Об электронной подписи".</w:t>
      </w:r>
      <w:r/>
    </w:p>
    <w:p>
      <w:pPr>
        <w:pStyle w:val="917"/>
        <w:ind w:firstLine="540"/>
        <w:jc w:val="both"/>
        <w:spacing w:before="240"/>
      </w:pPr>
      <w:r>
        <w:t xml:space="preserve">При отсутствии технической возможнос</w:t>
      </w:r>
      <w:r>
        <w:t xml:space="preserve">ти информационного обмена в электронном виде обмен информацией осуществляется с использованием бумажных носителей с одновременным представлением документов на машинном носителе.</w:t>
      </w:r>
      <w:r/>
    </w:p>
    <w:p>
      <w:pPr>
        <w:pStyle w:val="917"/>
        <w:jc w:val="both"/>
      </w:pPr>
      <w:r>
        <w:t xml:space="preserve">(п. 12 в ред. Приказа Казначейства России от 28.11.2025 N 22н)</w:t>
      </w:r>
      <w:r/>
    </w:p>
    <w:p>
      <w:pPr>
        <w:pStyle w:val="917"/>
        <w:ind w:firstLine="540"/>
        <w:jc w:val="both"/>
        <w:spacing w:before="240"/>
      </w:pPr>
      <w:r>
        <w:t xml:space="preserve">13. Документооб</w:t>
      </w:r>
      <w:r>
        <w:t xml:space="preserve">орот по открытию, ведению и закрытию казначейских счетов, содержащий сведения, составляющие государственную тайну, осуществляется в соответствии с настоящим Порядком с соблюдением требований законодательства Российской Федерации о государственной тайне.</w:t>
      </w:r>
      <w:r/>
    </w:p>
    <w:p>
      <w:pPr>
        <w:pStyle w:val="917"/>
        <w:ind w:firstLine="540"/>
        <w:jc w:val="both"/>
        <w:spacing w:before="240"/>
      </w:pPr>
      <w:r>
        <w:t xml:space="preserve">14</w:t>
      </w:r>
      <w:r>
        <w:t xml:space="preserve">. При открытии казначейского счета ему присваивается уникальный номер, имеющий следующую структуру, состоящую из 20 разрядов:</w:t>
      </w:r>
      <w:r/>
    </w:p>
    <w:p>
      <w:pPr>
        <w:pStyle w:val="917"/>
        <w:jc w:val="both"/>
      </w:pPr>
      <w:r/>
      <w:r/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80"/>
        <w:gridCol w:w="340"/>
        <w:gridCol w:w="340"/>
        <w:gridCol w:w="340"/>
        <w:gridCol w:w="340"/>
        <w:gridCol w:w="374"/>
        <w:gridCol w:w="370"/>
        <w:gridCol w:w="379"/>
        <w:gridCol w:w="461"/>
        <w:gridCol w:w="461"/>
        <w:gridCol w:w="466"/>
        <w:gridCol w:w="461"/>
        <w:gridCol w:w="466"/>
        <w:gridCol w:w="461"/>
        <w:gridCol w:w="456"/>
        <w:gridCol w:w="470"/>
        <w:gridCol w:w="566"/>
        <w:gridCol w:w="562"/>
        <w:gridCol w:w="523"/>
        <w:gridCol w:w="494"/>
      </w:tblGrid>
      <w:tr>
        <w:tblPrEx/>
        <w:trPr/>
        <w:tc>
          <w:tcPr>
            <w:tcW w:w="68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Признак казначейского счета</w:t>
            </w:r>
            <w:r/>
          </w:p>
        </w:tc>
        <w:tc>
          <w:tcPr>
            <w:gridSpan w:val="4"/>
            <w:tcW w:w="136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Код вида казначейского счета</w:t>
            </w:r>
            <w:r/>
          </w:p>
        </w:tc>
        <w:tc>
          <w:tcPr>
            <w:gridSpan w:val="3"/>
            <w:tcW w:w="1123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Код валюты</w:t>
            </w:r>
            <w:r/>
          </w:p>
        </w:tc>
        <w:tc>
          <w:tcPr>
            <w:gridSpan w:val="8"/>
            <w:tcW w:w="3702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Идентификатор публично-правового образования</w:t>
            </w:r>
            <w:r/>
          </w:p>
        </w:tc>
        <w:tc>
          <w:tcPr>
            <w:gridSpan w:val="2"/>
            <w:tcW w:w="1128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Код территориального органа Федерального казначейства</w:t>
            </w:r>
            <w:r/>
          </w:p>
        </w:tc>
        <w:tc>
          <w:tcPr>
            <w:gridSpan w:val="2"/>
            <w:tcW w:w="1017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Порядковый номер счета</w:t>
            </w:r>
            <w:r/>
          </w:p>
        </w:tc>
      </w:tr>
      <w:tr>
        <w:tblPrEx/>
        <w:trPr/>
        <w:tc>
          <w:tcPr>
            <w:tcW w:w="68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</w:t>
            </w:r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2</w:t>
            </w:r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3</w:t>
            </w:r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4</w:t>
            </w:r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5</w:t>
            </w:r>
            <w:r/>
          </w:p>
        </w:tc>
        <w:tc>
          <w:tcPr>
            <w:tcW w:w="374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6</w:t>
            </w:r>
            <w:r/>
          </w:p>
        </w:tc>
        <w:tc>
          <w:tcPr>
            <w:tcW w:w="37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7</w:t>
            </w:r>
            <w:r/>
          </w:p>
        </w:tc>
        <w:tc>
          <w:tcPr>
            <w:tcW w:w="379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8</w:t>
            </w:r>
            <w:r/>
          </w:p>
        </w:tc>
        <w:tc>
          <w:tcPr>
            <w:tcW w:w="461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9</w:t>
            </w:r>
            <w:r/>
          </w:p>
        </w:tc>
        <w:tc>
          <w:tcPr>
            <w:tcW w:w="461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10</w:t>
            </w:r>
            <w:r/>
          </w:p>
        </w:tc>
        <w:tc>
          <w:tcPr>
            <w:tcW w:w="466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11</w:t>
            </w:r>
            <w:r/>
          </w:p>
        </w:tc>
        <w:tc>
          <w:tcPr>
            <w:tcW w:w="461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12</w:t>
            </w:r>
            <w:r/>
          </w:p>
        </w:tc>
        <w:tc>
          <w:tcPr>
            <w:tcW w:w="466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13</w:t>
            </w:r>
            <w:r/>
          </w:p>
        </w:tc>
        <w:tc>
          <w:tcPr>
            <w:tcW w:w="461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14</w:t>
            </w:r>
            <w:r/>
          </w:p>
        </w:tc>
        <w:tc>
          <w:tcPr>
            <w:tcW w:w="456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15</w:t>
            </w:r>
            <w:r/>
          </w:p>
        </w:tc>
        <w:tc>
          <w:tcPr>
            <w:tcW w:w="470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16</w:t>
            </w:r>
            <w:r/>
          </w:p>
        </w:tc>
        <w:tc>
          <w:tcPr>
            <w:tcW w:w="566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17</w:t>
            </w:r>
            <w:r/>
          </w:p>
        </w:tc>
        <w:tc>
          <w:tcPr>
            <w:tcW w:w="562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18</w:t>
            </w:r>
            <w:r/>
          </w:p>
        </w:tc>
        <w:tc>
          <w:tcPr>
            <w:tcW w:w="523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19</w:t>
            </w:r>
            <w:r/>
          </w:p>
        </w:tc>
        <w:tc>
          <w:tcPr>
            <w:tcW w:w="494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20</w:t>
            </w:r>
            <w:r/>
          </w:p>
        </w:tc>
      </w:tr>
      <w:tr>
        <w:tblPrEx/>
        <w:trPr/>
        <w:tc>
          <w:tcPr>
            <w:tcW w:w="68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3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37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379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61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61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66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61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66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61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56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7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566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562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52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49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</w:tbl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>
        <w:t xml:space="preserve">14.1. Признак казначейского счета принимает значение "0".</w:t>
      </w:r>
      <w:r/>
    </w:p>
    <w:p>
      <w:pPr>
        <w:pStyle w:val="917"/>
        <w:ind w:firstLine="540"/>
        <w:jc w:val="both"/>
        <w:spacing w:before="240"/>
      </w:pPr>
      <w:r>
        <w:t xml:space="preserve">14.2. Код вида казначейского счета в номере казначейского счета принимает следующие значения:</w:t>
      </w:r>
      <w:r/>
    </w:p>
    <w:p>
      <w:pPr>
        <w:pStyle w:val="917"/>
        <w:ind w:firstLine="540"/>
        <w:jc w:val="both"/>
        <w:spacing w:before="240"/>
      </w:pPr>
      <w:r>
        <w:t xml:space="preserve">2200 - средства единого казначейского счета в размещении по операциям по управлению остатками средств;</w:t>
      </w:r>
      <w:r/>
    </w:p>
    <w:p>
      <w:pPr>
        <w:pStyle w:val="917"/>
        <w:ind w:firstLine="540"/>
        <w:jc w:val="both"/>
        <w:spacing w:before="240"/>
      </w:pPr>
      <w:r>
        <w:t xml:space="preserve">3100 - средства поступлений, являющихся источниками формиро</w:t>
      </w:r>
      <w:r>
        <w:t xml:space="preserve">вания доходов бюджетов </w:t>
      </w:r>
      <w:r>
        <w:t xml:space="preserve">бюджетной системы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3211 - средства федерального бюджета;</w:t>
      </w:r>
      <w:r/>
    </w:p>
    <w:p>
      <w:pPr>
        <w:pStyle w:val="917"/>
        <w:ind w:firstLine="540"/>
        <w:jc w:val="both"/>
        <w:spacing w:before="240"/>
      </w:pPr>
      <w:r>
        <w:t xml:space="preserve">3212 - средства, поступающие во временное распоряжение получателей средств федерального бюджета;</w:t>
      </w:r>
      <w:r/>
    </w:p>
    <w:p>
      <w:pPr>
        <w:pStyle w:val="917"/>
        <w:ind w:firstLine="540"/>
        <w:jc w:val="both"/>
        <w:spacing w:before="240"/>
      </w:pPr>
      <w:r>
        <w:t xml:space="preserve">3214 - средства федеральных бюджетных и автономных учреждений;</w:t>
      </w:r>
      <w:r/>
    </w:p>
    <w:p>
      <w:pPr>
        <w:pStyle w:val="917"/>
        <w:ind w:firstLine="540"/>
        <w:jc w:val="both"/>
        <w:spacing w:before="240"/>
      </w:pPr>
      <w:r>
        <w:t xml:space="preserve">3215 - средства участников казначейского сопровождения, источником финансового обеспечения которых являются средства федерального бюджета;</w:t>
      </w:r>
      <w:r/>
    </w:p>
    <w:p>
      <w:pPr>
        <w:pStyle w:val="917"/>
        <w:ind w:firstLine="540"/>
        <w:jc w:val="both"/>
        <w:spacing w:before="240"/>
      </w:pPr>
      <w:r>
        <w:t xml:space="preserve">3216 - средства получателей средств из бюджета, источн</w:t>
      </w:r>
      <w:r>
        <w:t xml:space="preserve">иком финансового обеспечения которых являются средства федерального бюджета;</w:t>
      </w:r>
      <w:r/>
    </w:p>
    <w:p>
      <w:pPr>
        <w:pStyle w:val="917"/>
        <w:ind w:firstLine="540"/>
        <w:jc w:val="both"/>
        <w:spacing w:before="240"/>
      </w:pPr>
      <w:r>
        <w:t xml:space="preserve">3217 - средства Фонда национального благосостояния;</w:t>
      </w:r>
      <w:r/>
    </w:p>
    <w:p>
      <w:pPr>
        <w:pStyle w:val="917"/>
        <w:ind w:firstLine="540"/>
        <w:jc w:val="both"/>
        <w:spacing w:before="240"/>
      </w:pPr>
      <w:r>
        <w:t xml:space="preserve">3221 - средства бюджетов субъектов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3222 - средства, поступающие во временное распоряжение получателей сре</w:t>
      </w:r>
      <w:r>
        <w:t xml:space="preserve">дств бюджетов субъектов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3224 - средства бюджетных и автономных учреждений субъектов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3225 - средства участников казначейского сопровождения, источником финансового обеспечения которых являются средства бюджетов су</w:t>
      </w:r>
      <w:r>
        <w:t xml:space="preserve">бъектов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3226 - средства получателей средств из бюджета, источником финансового обеспечения которых являются средства бюджетов субъектов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3231 - средства местных бюджетов;</w:t>
      </w:r>
      <w:r/>
    </w:p>
    <w:p>
      <w:pPr>
        <w:pStyle w:val="917"/>
        <w:ind w:firstLine="540"/>
        <w:jc w:val="both"/>
        <w:spacing w:before="240"/>
      </w:pPr>
      <w:r>
        <w:t xml:space="preserve">3232 - средства, поступающие во временное </w:t>
      </w:r>
      <w:r>
        <w:t xml:space="preserve">распоряжение получателей средств местных бюджетов;</w:t>
      </w:r>
      <w:r/>
    </w:p>
    <w:p>
      <w:pPr>
        <w:pStyle w:val="917"/>
        <w:ind w:firstLine="540"/>
        <w:jc w:val="both"/>
        <w:spacing w:before="240"/>
      </w:pPr>
      <w:r>
        <w:t xml:space="preserve">3234 - средства муниципальных бюджетных и автономных учреждений;</w:t>
      </w:r>
      <w:r/>
    </w:p>
    <w:p>
      <w:pPr>
        <w:pStyle w:val="917"/>
        <w:ind w:firstLine="540"/>
        <w:jc w:val="both"/>
        <w:spacing w:before="240"/>
      </w:pPr>
      <w:r>
        <w:t xml:space="preserve">3235 - средства участников казначейского сопровождения, источником финансового обеспечения которых являются средства местных бюджетов;</w:t>
      </w:r>
      <w:r/>
    </w:p>
    <w:p>
      <w:pPr>
        <w:pStyle w:val="917"/>
        <w:ind w:firstLine="540"/>
        <w:jc w:val="both"/>
        <w:spacing w:before="240"/>
      </w:pPr>
      <w:r>
        <w:t xml:space="preserve">3236 </w:t>
      </w:r>
      <w:r>
        <w:t xml:space="preserve">- средства получателей средств из бюджета, источником финансового обеспечения которых являются средства местных бюджетов;</w:t>
      </w:r>
      <w:r/>
    </w:p>
    <w:p>
      <w:pPr>
        <w:pStyle w:val="917"/>
        <w:ind w:firstLine="540"/>
        <w:jc w:val="both"/>
        <w:spacing w:before="240"/>
      </w:pPr>
      <w:r>
        <w:t xml:space="preserve">3241 - средства бюджета Фонда пенсионного и социального страхования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3242 - средства, поступающие во временное ра</w:t>
      </w:r>
      <w:r>
        <w:t xml:space="preserve">споряжение получателей средств бюджета Фонда пенсионного и социального страхования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3244 - средства бюджетных учреждений Фонда пенсионного и социального страхования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3261 - средства бюджета Федерального фонда обяза</w:t>
      </w:r>
      <w:r>
        <w:t xml:space="preserve">тельного медицинского страхования;</w:t>
      </w:r>
      <w:r/>
    </w:p>
    <w:p>
      <w:pPr>
        <w:pStyle w:val="917"/>
        <w:ind w:firstLine="540"/>
        <w:jc w:val="both"/>
        <w:spacing w:before="240"/>
      </w:pPr>
      <w:r>
        <w:t xml:space="preserve">3262 - средства, поступающие во временное распоряжение получателей средств бюджета Федерального фонда обязательного медицинского страхования;</w:t>
      </w:r>
      <w:r/>
    </w:p>
    <w:p>
      <w:pPr>
        <w:pStyle w:val="917"/>
        <w:ind w:firstLine="540"/>
        <w:jc w:val="both"/>
        <w:spacing w:before="240"/>
      </w:pPr>
      <w:r>
        <w:t xml:space="preserve">3271 - средства бюджетов территориальных фондов обязательного медицинского стра</w:t>
      </w:r>
      <w:r>
        <w:t xml:space="preserve">хования;</w:t>
      </w:r>
      <w:r/>
    </w:p>
    <w:p>
      <w:pPr>
        <w:pStyle w:val="917"/>
        <w:ind w:firstLine="540"/>
        <w:jc w:val="both"/>
        <w:spacing w:before="240"/>
      </w:pPr>
      <w:r>
        <w:t xml:space="preserve">3272 - средства, поступающие во временное распоряжение получателей средств бюджетов территориальных фондов обязательного медицинского страхования;</w:t>
      </w:r>
      <w:r/>
    </w:p>
    <w:p>
      <w:pPr>
        <w:pStyle w:val="917"/>
        <w:ind w:firstLine="540"/>
        <w:jc w:val="both"/>
        <w:spacing w:before="240"/>
      </w:pPr>
      <w:r>
        <w:t xml:space="preserve">3420 - средства единого казначейского счета до выяснения принадлежности;</w:t>
      </w:r>
      <w:r/>
    </w:p>
    <w:p>
      <w:pPr>
        <w:pStyle w:val="917"/>
        <w:ind w:firstLine="540"/>
        <w:jc w:val="both"/>
        <w:spacing w:before="240"/>
      </w:pPr>
      <w:r>
        <w:t xml:space="preserve">3440 - расчеты по средствам</w:t>
      </w:r>
      <w:r>
        <w:t xml:space="preserve"> единого казначейского счета по итогам клиринга;</w:t>
      </w:r>
      <w:r/>
    </w:p>
    <w:p>
      <w:pPr>
        <w:pStyle w:val="917"/>
        <w:ind w:firstLine="540"/>
        <w:jc w:val="both"/>
        <w:spacing w:before="240"/>
      </w:pPr>
      <w:r>
        <w:t xml:space="preserve">3500 - средства единого казначейского счета, привлеченные по операциям по управлению остатками средств;</w:t>
      </w:r>
      <w:r/>
    </w:p>
    <w:p>
      <w:pPr>
        <w:pStyle w:val="917"/>
        <w:ind w:firstLine="540"/>
        <w:jc w:val="both"/>
        <w:spacing w:before="240"/>
      </w:pPr>
      <w:r>
        <w:t xml:space="preserve">4100 - финансовый результат по операциям по управлению остатками средств на едином казначейском счете.</w:t>
      </w:r>
      <w:r/>
    </w:p>
    <w:p>
      <w:pPr>
        <w:pStyle w:val="917"/>
        <w:jc w:val="both"/>
      </w:pPr>
      <w:r>
        <w:t xml:space="preserve">(п. 14.2 в ред. Приказа Казначейства России от 28.11.2025 N 22н)</w:t>
      </w:r>
      <w:r/>
    </w:p>
    <w:p>
      <w:pPr>
        <w:pStyle w:val="917"/>
        <w:ind w:firstLine="540"/>
        <w:jc w:val="both"/>
        <w:spacing w:before="240"/>
      </w:pPr>
      <w:r>
        <w:t xml:space="preserve">14.3. Код валюты в номере казначейского счета присваивается в соответствии с Общероссийским классификатором валют.</w:t>
      </w:r>
      <w:r/>
    </w:p>
    <w:p>
      <w:pPr>
        <w:pStyle w:val="917"/>
        <w:ind w:firstLine="540"/>
        <w:jc w:val="both"/>
        <w:spacing w:before="240"/>
      </w:pPr>
      <w:r>
        <w:t xml:space="preserve">14.4. Идентификатор публично-правового образования в номере казначейского счета соответствует коду по Общероссийскому классификатору территорий муниципальных образований (далее - код ОКТМО) с учетом следующих особенностей:</w:t>
      </w:r>
      <w:r/>
    </w:p>
    <w:p>
      <w:pPr>
        <w:pStyle w:val="917"/>
        <w:ind w:firstLine="540"/>
        <w:jc w:val="both"/>
        <w:spacing w:before="240"/>
      </w:pPr>
      <w:r>
        <w:t xml:space="preserve">федеральному бюджету соответствуе</w:t>
      </w:r>
      <w:r>
        <w:t xml:space="preserve">т код ОКТМО "00 000 001";</w:t>
      </w:r>
      <w:r/>
    </w:p>
    <w:p>
      <w:pPr>
        <w:pStyle w:val="917"/>
        <w:ind w:firstLine="540"/>
        <w:jc w:val="both"/>
        <w:spacing w:before="240"/>
      </w:pPr>
      <w:r>
        <w:t xml:space="preserve">бюджету Фонда пенсионного и социального страхования Российской Федерации соответствует код ОКТМО "00 000 006";</w:t>
      </w:r>
      <w:r/>
    </w:p>
    <w:p>
      <w:pPr>
        <w:pStyle w:val="917"/>
        <w:ind w:firstLine="540"/>
        <w:jc w:val="both"/>
        <w:spacing w:before="240"/>
      </w:pPr>
      <w:r>
        <w:t xml:space="preserve">бюджету Фонда обязательного медицинского страхования соответствует код ОКТМО "00 000 008";</w:t>
      </w:r>
      <w:r/>
    </w:p>
    <w:p>
      <w:pPr>
        <w:pStyle w:val="917"/>
        <w:ind w:firstLine="540"/>
        <w:jc w:val="both"/>
        <w:spacing w:before="240"/>
      </w:pPr>
      <w:r>
        <w:t xml:space="preserve">бюджету субъекта Российской </w:t>
      </w:r>
      <w:r>
        <w:t xml:space="preserve">Федерации соответствует код ОКТМО, имеющий ненулевое значение в первых двух разрядах кода (трех разрядах кода - для Ямало-Ненецкого и Ненецкого автономных округов, Ханты-Мансийского автономного округа - Югры, пяти разрядах кода - для федеральной территории</w:t>
      </w:r>
      <w:r>
        <w:t xml:space="preserve"> "Сириус"), а в остальных разрядах кода - нули (XX 000 000, XX Х00 000, XX XXX 000), отражающий принадлежность к субъекту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бюджету города Байконур соответствует код ОКТМО "55 000 000";</w:t>
      </w:r>
      <w:r/>
    </w:p>
    <w:p>
      <w:pPr>
        <w:pStyle w:val="917"/>
        <w:ind w:firstLine="540"/>
        <w:jc w:val="both"/>
        <w:spacing w:before="240"/>
      </w:pPr>
      <w:r>
        <w:t xml:space="preserve">бюджету территориального фонда обязательного медиц</w:t>
      </w:r>
      <w:r>
        <w:t xml:space="preserve">инского страхования соответствует код ОКТМО - "XX 000 009" ("XX Х00 009"), где первые два разряда кода (три разряда кода - для Ямало-Ненецкого и Ненецкого автономных округов, Ханты-Мансийского автономного округа - Югры) определяют принадлежность территориа</w:t>
      </w:r>
      <w:r>
        <w:t xml:space="preserve">льного фонда к субъекту Российской Федерации;</w:t>
      </w:r>
      <w:r/>
    </w:p>
    <w:p>
      <w:pPr>
        <w:pStyle w:val="917"/>
        <w:ind w:firstLine="540"/>
        <w:jc w:val="both"/>
        <w:spacing w:before="240"/>
      </w:pPr>
      <w:r>
        <w:t xml:space="preserve">бюджету территориального фонда обязательного медицинского страхования города Байконура соответствует код ОКТМО "55 000 009".</w:t>
      </w:r>
      <w:r/>
    </w:p>
    <w:p>
      <w:pPr>
        <w:pStyle w:val="917"/>
        <w:ind w:firstLine="540"/>
        <w:jc w:val="both"/>
        <w:spacing w:before="240"/>
      </w:pPr>
      <w:r>
        <w:t xml:space="preserve">При открытии казначейского счета 3100 "средства поступлений, являющихся источниками </w:t>
      </w:r>
      <w:r>
        <w:t xml:space="preserve">ф</w:t>
      </w:r>
      <w:r>
        <w:t xml:space="preserve">ормирования доходов бюджетов бюджетной системы Российской Федерации" в номере казначейского счета указывается ОКТМО "00 000 001".</w:t>
      </w:r>
      <w:r/>
    </w:p>
    <w:p>
      <w:pPr>
        <w:pStyle w:val="917"/>
        <w:jc w:val="both"/>
      </w:pPr>
      <w:r>
        <w:t xml:space="preserve">(п. 14.4 в ред. Приказа Казначейства России от 28.11.2025 N 22н)</w:t>
      </w:r>
      <w:r/>
    </w:p>
    <w:p>
      <w:pPr>
        <w:pStyle w:val="917"/>
        <w:ind w:firstLine="540"/>
        <w:jc w:val="both"/>
        <w:spacing w:before="240"/>
      </w:pPr>
      <w:r>
        <w:t xml:space="preserve">14.5. Код территориального органа Федерального казначейства, </w:t>
      </w:r>
      <w:r>
        <w:t xml:space="preserve">указанный в номере казначейского счета, присваивается Федеральным казначейством.</w:t>
      </w:r>
      <w:r/>
    </w:p>
    <w:p>
      <w:pPr>
        <w:pStyle w:val="917"/>
        <w:ind w:firstLine="540"/>
        <w:jc w:val="both"/>
        <w:spacing w:before="240"/>
      </w:pPr>
      <w:r>
        <w:t xml:space="preserve">14.6. Порядковый номер счета используется при открытии нескольких казначейских счетов одного вида.</w:t>
      </w:r>
      <w:r/>
    </w:p>
    <w:p>
      <w:pPr>
        <w:pStyle w:val="917"/>
        <w:jc w:val="both"/>
      </w:pPr>
      <w:r/>
      <w:r/>
    </w:p>
    <w:p>
      <w:pPr>
        <w:pStyle w:val="919"/>
        <w:jc w:val="center"/>
        <w:outlineLvl w:val="1"/>
      </w:pPr>
      <w:r>
        <w:t xml:space="preserve">II. Открытие казначейских счетов</w:t>
      </w:r>
      <w:r/>
    </w:p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/>
      <w:bookmarkStart w:id="3" w:name="P191"/>
      <w:r/>
      <w:bookmarkEnd w:id="3"/>
      <w:r>
        <w:t xml:space="preserve">15. Для открытия казначейского счета терр</w:t>
      </w:r>
      <w:r>
        <w:t xml:space="preserve">иториальный орган Федерального казначейства, финансовый орган субъекта Российской Федерации (муниципального образования), орган управления государственным внебюджетным фондом представляют в территориальный орган Федерального казначейства заявление на откры</w:t>
      </w:r>
      <w:r>
        <w:t xml:space="preserve">тие казначейского счета, содержащее реквизиты согласно </w:t>
      </w:r>
      <w:r>
        <w:t xml:space="preserve">приложению N 1</w:t>
      </w:r>
      <w:r>
        <w:t xml:space="preserve"> к настоящему Порядку.</w:t>
      </w:r>
      <w:r/>
    </w:p>
    <w:p>
      <w:pPr>
        <w:pStyle w:val="917"/>
        <w:ind w:firstLine="540"/>
        <w:jc w:val="both"/>
        <w:spacing w:before="240"/>
      </w:pPr>
      <w:r>
        <w:t xml:space="preserve">Территориальный орган Федерального казначейства, финансовый орган субъекта Российск</w:t>
      </w:r>
      <w:r>
        <w:t xml:space="preserve">ой Федерации (муниципального образования), орган управления государственным внебюджетным фондом представляют Карточку образцов подписей к казначейским счетам, за исключением случаев, предусмотренных </w:t>
      </w:r>
      <w:r>
        <w:t xml:space="preserve">абзацем вторым пункта 12</w:t>
      </w:r>
      <w:r>
        <w:t xml:space="preserve"> настоящего Порядка, по форме согласно </w:t>
      </w:r>
      <w:r>
        <w:t xml:space="preserve">приложению N 2</w:t>
      </w:r>
      <w:r>
        <w:t xml:space="preserve"> к настоящему Порядку (код формы по КФД 0531376) (далее - Карточка образцов подписей).</w:t>
      </w:r>
      <w:r/>
    </w:p>
    <w:p>
      <w:pPr>
        <w:pStyle w:val="917"/>
        <w:jc w:val="both"/>
      </w:pPr>
      <w:r>
        <w:t xml:space="preserve">(п. 15 в ред. Приказа Казначейства России от 28.11.2025 N </w:t>
      </w:r>
      <w:r>
        <w:t xml:space="preserve">22н)</w:t>
      </w:r>
      <w:r/>
    </w:p>
    <w:p>
      <w:pPr>
        <w:pStyle w:val="917"/>
        <w:ind w:firstLine="540"/>
        <w:jc w:val="both"/>
        <w:spacing w:before="240"/>
      </w:pPr>
      <w:r/>
      <w:bookmarkStart w:id="4" w:name="P194"/>
      <w:r/>
      <w:bookmarkEnd w:id="4"/>
      <w:r>
        <w:t xml:space="preserve">16. Оформление </w:t>
      </w:r>
      <w:r>
        <w:t xml:space="preserve">Карточки</w:t>
      </w:r>
      <w:r>
        <w:t xml:space="preserve"> образцов подписей осуществляется следующим образом.</w:t>
      </w:r>
      <w:r/>
    </w:p>
    <w:p>
      <w:pPr>
        <w:pStyle w:val="917"/>
        <w:ind w:firstLine="540"/>
        <w:jc w:val="both"/>
        <w:spacing w:before="240"/>
      </w:pPr>
      <w:r>
        <w:t xml:space="preserve">В </w:t>
      </w:r>
      <w:r>
        <w:t xml:space="preserve">наименовании</w:t>
      </w:r>
      <w:r>
        <w:t xml:space="preserve"> формы Карточки образцов подписей проставляет</w:t>
      </w:r>
      <w:r>
        <w:t xml:space="preserve">ся номер, присвоенный ей территориальным органом Федерального казначейства, финансовым органом субъекта Российской Федерации (муниципального образования), органом управления государственным внебюджетным фондом. Территориальный орган Федерального казначейст</w:t>
      </w:r>
      <w:r>
        <w:t xml:space="preserve">ва в </w:t>
      </w:r>
      <w:r>
        <w:t xml:space="preserve">наименовании</w:t>
      </w:r>
      <w:r>
        <w:t xml:space="preserve"> формы Карточки образцов подписей проставляет </w:t>
      </w:r>
      <w:r>
        <w:t xml:space="preserve">номера</w:t>
      </w:r>
      <w:r>
        <w:t xml:space="preserve"> открытых территориальному органу Федерального казначейства, финансовому органу субъекта Российской Федерации (муниципального обр</w:t>
      </w:r>
      <w:r>
        <w:t xml:space="preserve">азования), органу управления государственным внебюджетным фондом казначейских счетов (или зачеркивает номера закрытых казначейских счетов).</w:t>
      </w:r>
      <w:r/>
    </w:p>
    <w:p>
      <w:pPr>
        <w:pStyle w:val="917"/>
        <w:ind w:firstLine="540"/>
        <w:jc w:val="both"/>
        <w:spacing w:before="240"/>
      </w:pPr>
      <w:r>
        <w:t xml:space="preserve">В заголовочной </w:t>
      </w:r>
      <w:r>
        <w:t xml:space="preserve">части</w:t>
      </w:r>
      <w:r>
        <w:t xml:space="preserve"> формы Карточки образцов подписей терр</w:t>
      </w:r>
      <w:r>
        <w:t xml:space="preserve">иториальным органом Федерального казначейства, финансовым органом субъекта Российской Федерации (муниципального образования), органом управления государственным внебюджетным фондом указываются:</w:t>
      </w:r>
      <w:r/>
    </w:p>
    <w:p>
      <w:pPr>
        <w:pStyle w:val="917"/>
        <w:ind w:firstLine="540"/>
        <w:jc w:val="both"/>
        <w:spacing w:before="240"/>
      </w:pPr>
      <w:r>
        <w:t xml:space="preserve">дат</w:t>
      </w:r>
      <w:r>
        <w:t xml:space="preserve">а</w:t>
      </w:r>
      <w:r>
        <w:t xml:space="preserve"> составления документа, с отражением в кодовой зоне даты в формате "день, месяц, год" (00.00.0000);</w:t>
      </w:r>
      <w:r/>
    </w:p>
    <w:p>
      <w:pPr>
        <w:pStyle w:val="917"/>
        <w:ind w:firstLine="540"/>
        <w:jc w:val="both"/>
        <w:spacing w:before="240"/>
      </w:pPr>
      <w:r>
        <w:t xml:space="preserve">по </w:t>
      </w:r>
      <w:r>
        <w:t xml:space="preserve">строке</w:t>
      </w:r>
      <w:r>
        <w:t xml:space="preserve"> "Наименование клиента" - полное и сокращенное (используется при составлении распоряжений о сове</w:t>
      </w:r>
      <w:r>
        <w:t xml:space="preserve">ршении казначейского платежа в случае, когда информация, подлежащая заполнению в обязательном порядке, имеет ограничение по числу символов) наименование территориального органа Федерального казначейства, финансового органа субъекта Российской Федерации (му</w:t>
      </w:r>
      <w:r>
        <w:t xml:space="preserve">ниципального образования), органа управления государственным внебюджетным фондом в соответствии с полным и сокращенным наименованием (с учетом символа "N", кавычек, </w:t>
      </w:r>
      <w:r>
        <w:t xml:space="preserve">скобок, знаков препинания), указанным в его реестровой записи реестра участников бюджетного</w:t>
      </w:r>
      <w:r>
        <w:t xml:space="preserve"> процесса, а также юридических лиц, не являющихся участниками бюджетного процесса (далее - Сводный реестр), ведение которого осуществляется в порядке, установленном Министерством финансов Российской Федерации &lt;1&gt;, с отражением в кодовой зоне кода по Сводно</w:t>
      </w:r>
      <w:r>
        <w:t xml:space="preserve">му реестру, кода по Общероссийскому классификатору предприятий и организаций (далее - ОКПО), идентификационного номера налогоплательщика (далее - ИНН) и кода причины постановки на учет (далее - КПП).</w:t>
      </w:r>
      <w:r/>
    </w:p>
    <w:p>
      <w:pPr>
        <w:pStyle w:val="917"/>
        <w:ind w:firstLine="540"/>
        <w:jc w:val="both"/>
        <w:spacing w:before="240"/>
      </w:pPr>
      <w:r>
        <w:t xml:space="preserve">--------------------------------</w:t>
      </w:r>
      <w:r/>
    </w:p>
    <w:p>
      <w:pPr>
        <w:pStyle w:val="917"/>
        <w:ind w:firstLine="540"/>
        <w:jc w:val="both"/>
        <w:spacing w:before="240"/>
      </w:pPr>
      <w:r>
        <w:t xml:space="preserve">&lt;1&gt; Приказ Министерства</w:t>
      </w:r>
      <w:r>
        <w:t xml:space="preserve"> финансов Российской Федерации от 23 декабря 2014 г. N 163н "О Порядке формирования и ведения реестра участников бюджетного процесса, а также юридических лиц, не являющихся участниками бюджетного процесса" (зарегистрирован Министерством юстиции Российской </w:t>
      </w:r>
      <w:r>
        <w:t xml:space="preserve">Федерации 9 февраля 2015 г., регистрационный номер 35954), с изменениями, внесенными приказами Министерства финансов Российской Федерации от 3 ноября 2016 г. N 203н (зарегистрирован Министерством юстиции Российской Федерации 2 декабря 2016 г., регистрацион</w:t>
      </w:r>
      <w:r>
        <w:t xml:space="preserve">ный номер 44545), от 27 ноября 2017 г. N 204н (зарегистрирован Министерством юстиции Российской Федерации 21 декабря 2017 г., регистрационный номер 49355), от 7 июня 2019 г. N 89н (зарегистрирован Министерством юстиции Российской Федерации 4 июля 2019 г., </w:t>
      </w:r>
      <w:r>
        <w:t xml:space="preserve">регистрационный номер 55128), от 7 апреля 2020 г. N 56н (зарегистрирован Министерством юстиции Российской Федерации 12 мая 2020 г., регистрационный номер 58323), от 18 ноября 2020 г. N 271н (зарегистрирован Министерством юстиции Российской Федерации 18 дек</w:t>
      </w:r>
      <w:r>
        <w:t xml:space="preserve">абря 2020 г., регистрационный номер 61567), от 8 декабря 2020 г. N 299н (зарегистрирован Министерством юстиции Российской Федерации 8 февраля 2021 г., регистрационный номер 62432), от 20 августа 2021 г. N 111н (зарегистрирован Министерством юстиции Российс</w:t>
      </w:r>
      <w:r>
        <w:t xml:space="preserve">кой Федерации 16 сентября 2021 г., регистрационный номер 65035).</w:t>
      </w:r>
      <w:r/>
    </w:p>
    <w:p>
      <w:pPr>
        <w:pStyle w:val="917"/>
        <w:jc w:val="both"/>
      </w:pPr>
      <w:r>
        <w:t xml:space="preserve">(в ред. Приказа Казначейства России от 13.10.2021 N 29н)</w:t>
      </w:r>
      <w:r/>
    </w:p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>
        <w:t xml:space="preserve">Раздел</w:t>
      </w:r>
      <w:r>
        <w:t xml:space="preserve"> "Образцы подписей должностных лиц клиента, имеющих право подписи распоряжений и </w:t>
      </w:r>
      <w:r>
        <w:t xml:space="preserve">иных документов при совершении операции по казначейскому счету" заполняется территориальным органом Федерального казначейства, финансовым органом субъекта Российской Федерации (муниципального образования), органом управления государственным внебюджетным фо</w:t>
      </w:r>
      <w:r>
        <w:t xml:space="preserve">ндом следующим образом.</w:t>
      </w:r>
      <w:r/>
    </w:p>
    <w:p>
      <w:pPr>
        <w:pStyle w:val="917"/>
        <w:ind w:firstLine="540"/>
        <w:jc w:val="both"/>
        <w:spacing w:before="240"/>
      </w:pPr>
      <w:r>
        <w:t xml:space="preserve">В </w:t>
      </w:r>
      <w:r>
        <w:t xml:space="preserve">графе 2</w:t>
      </w:r>
      <w:r>
        <w:t xml:space="preserve"> указываются полные наименования должностей должностных лиц территориального органа Федерального казначейства, финансового органа субъекта Российской Федерации (муниципального образования), ор</w:t>
      </w:r>
      <w:r>
        <w:t xml:space="preserve">гана управления государственным внебюджетным фондом, имеющих соответственно право первой или второй подписи.</w:t>
      </w:r>
      <w:r/>
    </w:p>
    <w:p>
      <w:pPr>
        <w:pStyle w:val="917"/>
        <w:ind w:firstLine="540"/>
        <w:jc w:val="both"/>
        <w:spacing w:before="240"/>
      </w:pPr>
      <w:r>
        <w:t xml:space="preserve">В </w:t>
      </w:r>
      <w:r>
        <w:t xml:space="preserve">графе 3</w:t>
      </w:r>
      <w:r>
        <w:t xml:space="preserve"> указываются полностью без сокращений фамилии, имена и отчества (при наличии) должностных лиц территориальн</w:t>
      </w:r>
      <w:r>
        <w:t xml:space="preserve">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фондом, которым предоставляется право подписи документов при совершении операций по казначей</w:t>
      </w:r>
      <w:r>
        <w:t xml:space="preserve">скому счету (казначейским счетам).</w:t>
      </w:r>
      <w:r/>
    </w:p>
    <w:p>
      <w:pPr>
        <w:pStyle w:val="917"/>
        <w:ind w:firstLine="540"/>
        <w:jc w:val="both"/>
        <w:spacing w:before="240"/>
      </w:pPr>
      <w:r>
        <w:t xml:space="preserve">В </w:t>
      </w:r>
      <w:r>
        <w:t xml:space="preserve">графе 4</w:t>
      </w:r>
      <w:r>
        <w:t xml:space="preserve"> проставляются образцы подписей соответствующих должностных лиц.</w:t>
      </w:r>
      <w:r/>
    </w:p>
    <w:p>
      <w:pPr>
        <w:pStyle w:val="917"/>
        <w:ind w:firstLine="540"/>
        <w:jc w:val="both"/>
        <w:spacing w:before="240"/>
      </w:pPr>
      <w:r>
        <w:t xml:space="preserve">В </w:t>
      </w:r>
      <w:r>
        <w:t xml:space="preserve">графе 5</w:t>
      </w:r>
      <w:r>
        <w:t xml:space="preserve"> указывается срок полномочий каждого должностного лица, которое временно пол</w:t>
      </w:r>
      <w:r>
        <w:t xml:space="preserve">ьзуется правом подписи, при этом сначала указывается дата начала срока полномочий, а затем через знак "тире" дата окончания срока полномочий. Дата начала срока полномочий лиц, временно пользующихся правом подписи, должна быть не ранее даты представления Ка</w:t>
      </w:r>
      <w:r>
        <w:t xml:space="preserve">рточки образцов </w:t>
      </w:r>
      <w:r>
        <w:t xml:space="preserve">подписей.</w:t>
      </w:r>
      <w:r/>
    </w:p>
    <w:p>
      <w:pPr>
        <w:pStyle w:val="917"/>
        <w:ind w:firstLine="540"/>
        <w:jc w:val="both"/>
        <w:spacing w:before="240"/>
      </w:pPr>
      <w:r>
        <w:t xml:space="preserve">Карточка</w:t>
      </w:r>
      <w:r>
        <w:t xml:space="preserve"> образцов подписей подписывается:</w:t>
      </w:r>
      <w:r/>
    </w:p>
    <w:p>
      <w:pPr>
        <w:pStyle w:val="917"/>
        <w:ind w:firstLine="540"/>
        <w:jc w:val="both"/>
        <w:spacing w:before="240"/>
      </w:pPr>
      <w:r>
        <w:t xml:space="preserve">руководителем (уполномоченным им лицом с указанием должности) территориального органа Федерального казначейства, финансового орган</w:t>
      </w:r>
      <w:r>
        <w:t xml:space="preserve">а субъекта Российской Федерации (муниципального образования), органа управления государственным внебюджетным фондом с указанием расшифровки его подписи, содержащей полные (без сокращения) фамилию, имя и отчество;</w:t>
      </w:r>
      <w:r/>
    </w:p>
    <w:p>
      <w:pPr>
        <w:pStyle w:val="917"/>
        <w:ind w:firstLine="540"/>
        <w:jc w:val="both"/>
        <w:spacing w:before="240"/>
      </w:pPr>
      <w:r>
        <w:t xml:space="preserve">главным бухгалтером (уполномоченным руковод</w:t>
      </w:r>
      <w:r>
        <w:t xml:space="preserve">ителем лицом с указанием должности)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 с указанием расшифровки его подписи,</w:t>
      </w:r>
      <w:r>
        <w:t xml:space="preserve"> содержащей полные (без сокращения) фамилию, имя и отчество, и даты подписания Карточки образцов подписей.</w:t>
      </w:r>
      <w:r/>
    </w:p>
    <w:p>
      <w:pPr>
        <w:pStyle w:val="917"/>
        <w:ind w:firstLine="540"/>
        <w:jc w:val="both"/>
        <w:spacing w:before="240"/>
      </w:pPr>
      <w:r>
        <w:t xml:space="preserve">На подписи ставится оттиск печати территориального органа Федерального казначейства, финансового органа субъекта Российской Федерации (муниципального</w:t>
      </w:r>
      <w:r>
        <w:t xml:space="preserve"> образования), органа управления государственным внебюджетным фондом так, чтобы подписи и расшифровки подписи читались ясно и четко.</w:t>
      </w:r>
      <w:r/>
    </w:p>
    <w:p>
      <w:pPr>
        <w:pStyle w:val="917"/>
        <w:ind w:firstLine="540"/>
        <w:jc w:val="both"/>
        <w:spacing w:before="240"/>
      </w:pPr>
      <w:r>
        <w:t xml:space="preserve">17. </w:t>
      </w:r>
      <w:r>
        <w:t xml:space="preserve">Карточка</w:t>
      </w:r>
      <w:r>
        <w:t xml:space="preserve"> образцов подписей оформляется и представляется терри</w:t>
      </w:r>
      <w:r>
        <w:t xml:space="preserve">ториальным органом Федерального казначейства, финансовым органом субъекта Российской Федерации (муниципального образования), органом управления государственным внебюджетным фондом с учетом следующих особенностей:</w:t>
      </w:r>
      <w:r/>
    </w:p>
    <w:p>
      <w:pPr>
        <w:pStyle w:val="917"/>
        <w:ind w:firstLine="540"/>
        <w:jc w:val="both"/>
        <w:spacing w:before="240"/>
      </w:pPr>
      <w:r>
        <w:t xml:space="preserve">а) </w:t>
      </w:r>
      <w:r>
        <w:t xml:space="preserve">Карточка</w:t>
      </w:r>
      <w:r>
        <w:t xml:space="preserve"> образцов подписей представляется территориальным органом Федерального казначейства, финансовым органом субъекта Российской Федерации (муниципального образования), органом управления государственным внебюджетным фондом в территори</w:t>
      </w:r>
      <w:r>
        <w:t xml:space="preserve">альный орган Федерального казначейства в одном экземпляре;</w:t>
      </w:r>
      <w:r/>
    </w:p>
    <w:p>
      <w:pPr>
        <w:pStyle w:val="917"/>
        <w:ind w:firstLine="540"/>
        <w:jc w:val="both"/>
        <w:spacing w:before="240"/>
      </w:pPr>
      <w:r>
        <w:t xml:space="preserve">б) при смене руководителя (уполномоченного им лица) или главного бухгалтера территориального органа Федерального казначейства, финансового органа субъекта Российской Федерации (муниципального образ</w:t>
      </w:r>
      <w:r>
        <w:t xml:space="preserve">ования), органа управления государственным внебюджетным фондом, а также при назначении временно исполняющего обязанности руководителя или главного бухгалтера территориального органа Федерального казначейства, финансового органа субъекта Российской Федераци</w:t>
      </w:r>
      <w:r>
        <w:t xml:space="preserve">и (муниципального образования), органа управления государственным внебюджетным фондом в случае освобождения руководителя или главного бухгалтера территориального органа Федерального казначейства, финансового органа субъекта Российской Федерации (муниципаль</w:t>
      </w:r>
      <w:r>
        <w:t xml:space="preserve">ного образования), органа управления государственным внебюджетным фондом от ранее занимаемой должности представляется новая Карточка образцов подписей с образцами подписей всех лиц, имеющих право первой и второй подписи;</w:t>
      </w:r>
      <w:r/>
    </w:p>
    <w:p>
      <w:pPr>
        <w:pStyle w:val="917"/>
        <w:ind w:firstLine="540"/>
        <w:jc w:val="both"/>
        <w:spacing w:before="240"/>
      </w:pPr>
      <w:r/>
      <w:bookmarkStart w:id="5" w:name="P215"/>
      <w:r/>
      <w:bookmarkEnd w:id="5"/>
      <w:r>
        <w:t xml:space="preserve">в) при назначении исполняющего обяз</w:t>
      </w:r>
      <w:r>
        <w:t xml:space="preserve">анности руководителя или главного бухгалтера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 дополнительно представляетс</w:t>
      </w:r>
      <w:r>
        <w:t xml:space="preserve">я Карточка образцов подписей, в которую включается только образец подписи лица, исполняющего обязанности руководителя или главного бухгалтера, с указанием срока их полномочий;</w:t>
      </w:r>
      <w:r/>
    </w:p>
    <w:p>
      <w:pPr>
        <w:pStyle w:val="917"/>
        <w:ind w:firstLine="540"/>
        <w:jc w:val="both"/>
        <w:spacing w:before="240"/>
      </w:pPr>
      <w:r>
        <w:t xml:space="preserve">г) при временном предоставлении лицу права первой или второй подписи (кроме случ</w:t>
      </w:r>
      <w:r>
        <w:t xml:space="preserve">аев, </w:t>
      </w:r>
      <w:r>
        <w:t xml:space="preserve">предусмотренных </w:t>
      </w:r>
      <w:r>
        <w:t xml:space="preserve">подпунктом "в"</w:t>
      </w:r>
      <w:r>
        <w:t xml:space="preserve"> настоящего пункта), а также при временной замене одного из лиц, включенных в </w:t>
      </w:r>
      <w:r>
        <w:t xml:space="preserve">Карточку</w:t>
      </w:r>
      <w:r>
        <w:t xml:space="preserve"> образцов подписей, уполномоченных руководи</w:t>
      </w:r>
      <w:r>
        <w:t xml:space="preserve">телем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фондом, новая Карточка образцов подписей не составляется, а дополнительно</w:t>
      </w:r>
      <w:r>
        <w:t xml:space="preserve"> представляется Карточка образцов подписей только с образцом подписи лица, которому временно предоставлено право первой или второй подписи, с указанием срока ее действия. Временная Карточка образцов подписей подписывается руководителем и главным бухгалтеро</w:t>
      </w:r>
      <w:r>
        <w:t xml:space="preserve">м (уполномоченными руководителем лицами)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фондом.</w:t>
      </w:r>
      <w:r/>
    </w:p>
    <w:p>
      <w:pPr>
        <w:pStyle w:val="917"/>
        <w:ind w:firstLine="540"/>
        <w:jc w:val="both"/>
        <w:spacing w:before="240"/>
      </w:pPr>
      <w:r>
        <w:t xml:space="preserve">Если территориальному органу Ф</w:t>
      </w:r>
      <w:r>
        <w:t xml:space="preserve">едерального казначейства, финансовому органу субъекта Российской Федерации (муниципального образования), органу управления государственным внебюджетным фондом в соответствии с настоящим Порядком уже открыт казначейский счет, представление Карточки образцов</w:t>
      </w:r>
      <w:r>
        <w:t xml:space="preserve"> подписей для открытия других казначейских счетов не требуется в случае, если лица, имеющие право подписывать документы, на основании которых осуществляются операции по вновь открываемым казначейским счетам, остаются прежними. В заголовочной части ранее пр</w:t>
      </w:r>
      <w:r>
        <w:t xml:space="preserve">едставленной Карточки образцов подписей проставляются </w:t>
      </w:r>
      <w:r>
        <w:t xml:space="preserve">номера</w:t>
      </w:r>
      <w:r>
        <w:t xml:space="preserve"> вновь открытых территориальному органу Федерального казначейства, финансовому органу субъекта Российской Федерации (муниципального образования), органу управления государственным внебюджетным фон</w:t>
      </w:r>
      <w:r>
        <w:t xml:space="preserve">дом казначейских счетов.</w:t>
      </w:r>
      <w:r/>
    </w:p>
    <w:p>
      <w:pPr>
        <w:pStyle w:val="917"/>
        <w:ind w:firstLine="540"/>
        <w:jc w:val="both"/>
        <w:spacing w:before="240"/>
      </w:pPr>
      <w:r>
        <w:t xml:space="preserve">В случае изменения наименования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 либо замены или</w:t>
      </w:r>
      <w:r>
        <w:t xml:space="preserve"> дополнения подписей лиц, имеющих право подписывать документы, на основании которых осуществляются операции по вновь открываемым казначейским счетам, территориальным органом Федерального казначейства, финансовым органом субъекта Российской Федерации (муниц</w:t>
      </w:r>
      <w:r>
        <w:t xml:space="preserve">ипального образования), органом управления государственным внебюджетным фондом представляется новая, оформленная в соответствии с </w:t>
      </w:r>
      <w:r>
        <w:t xml:space="preserve">пунктом 16</w:t>
      </w:r>
      <w:r>
        <w:t xml:space="preserve"> настоящего</w:t>
      </w:r>
      <w:r>
        <w:t xml:space="preserve"> Порядка, </w:t>
      </w:r>
      <w:r>
        <w:t xml:space="preserve">Карточка</w:t>
      </w:r>
      <w:r>
        <w:t xml:space="preserve"> образцов подписей с образцами подписей всех лиц, имеющих право первой и второй подписи.</w:t>
      </w:r>
      <w:r/>
    </w:p>
    <w:p>
      <w:pPr>
        <w:pStyle w:val="917"/>
        <w:jc w:val="both"/>
      </w:pPr>
      <w:r>
        <w:t xml:space="preserve">(в ред. Приказа Казначейства России от 28.12.2022 N 38н)</w:t>
      </w:r>
      <w:r/>
    </w:p>
    <w:p>
      <w:pPr>
        <w:pStyle w:val="917"/>
        <w:ind w:firstLine="540"/>
        <w:jc w:val="both"/>
        <w:spacing w:before="240"/>
      </w:pPr>
      <w:r>
        <w:t xml:space="preserve">18. Территориальный орган Федерального казначейства не позднее следующего рабочего дня после представления документов для открытия казначейского счета, указанных в </w:t>
      </w:r>
      <w:r>
        <w:t xml:space="preserve">пункте 15</w:t>
      </w:r>
      <w:r>
        <w:t xml:space="preserve"> настоящего Порядка, осуществляет проверку реквиз</w:t>
      </w:r>
      <w:r>
        <w:t xml:space="preserve">итов, предусмотренных для заполнения, соответствие их сведениям в Сводном реестре и в случае положительного результата проверки осуществляет внесение записи в Книгу регистрации казначейских счетов, содержащую реквизиты согласно </w:t>
      </w:r>
      <w:r>
        <w:t xml:space="preserve">приложению N 3</w:t>
      </w:r>
      <w:r>
        <w:t xml:space="preserve"> к настоящему Порядку, после чего казначейский счет считается открытым.</w:t>
      </w:r>
      <w:r/>
    </w:p>
    <w:p>
      <w:pPr>
        <w:pStyle w:val="917"/>
        <w:ind w:firstLine="540"/>
        <w:jc w:val="both"/>
        <w:spacing w:before="240"/>
      </w:pPr>
      <w:r>
        <w:t xml:space="preserve">Книга регистрации казначейских счетов формируется и ведется территориальными органами Федерального казначейства.</w:t>
      </w:r>
      <w:r/>
    </w:p>
    <w:p>
      <w:pPr>
        <w:pStyle w:val="917"/>
        <w:ind w:firstLine="540"/>
        <w:jc w:val="both"/>
        <w:spacing w:before="240"/>
      </w:pPr>
      <w:r>
        <w:t xml:space="preserve">19. Доку</w:t>
      </w:r>
      <w:r>
        <w:t xml:space="preserve">менты, представленные для открытия казначейского счета в соответствии с </w:t>
      </w:r>
      <w:r>
        <w:t xml:space="preserve">пунктом 15</w:t>
      </w:r>
      <w:r>
        <w:t xml:space="preserve"> настоящего Порядка, не соответствующие положениям </w:t>
      </w:r>
      <w:r>
        <w:t xml:space="preserve">пунктов 15</w:t>
      </w:r>
      <w:r>
        <w:t xml:space="preserve"> и (или) </w:t>
      </w:r>
      <w:r>
        <w:t xml:space="preserve">16</w:t>
      </w:r>
      <w:r>
        <w:t xml:space="preserve"> настоящего Порядка, возвращаются территориальным органом Федерального казначейства не позднее рабочего дня, следующего за днем их представления, вместе с уведомлением, содержащим переч</w:t>
      </w:r>
      <w:r>
        <w:t xml:space="preserve">ень документов, подлежащих возврату, дату и причину отказа.</w:t>
      </w:r>
      <w:r/>
    </w:p>
    <w:p>
      <w:pPr>
        <w:pStyle w:val="917"/>
        <w:jc w:val="both"/>
      </w:pPr>
      <w:r>
        <w:t xml:space="preserve">(в ред. Приказа Казначейства России от 28.06.2021 N 23н)</w:t>
      </w:r>
      <w:r/>
    </w:p>
    <w:p>
      <w:pPr>
        <w:pStyle w:val="917"/>
        <w:ind w:firstLine="540"/>
        <w:jc w:val="both"/>
        <w:spacing w:before="240"/>
      </w:pPr>
      <w:r>
        <w:t xml:space="preserve">20. Территориальный орган Федерального казначейства не позднее рабочего дня, следующего за днем открытия казначейского счета, направляет те</w:t>
      </w:r>
      <w:r>
        <w:t xml:space="preserve">рриториальному органу Федерального казначейства, финансовому органу субъекта Российской Федерации (муниципального образования), органу управления государственным внебюджетным фондом уведомление об открытии казначейского счета, содержащее сведения о номере </w:t>
      </w:r>
      <w:r>
        <w:t xml:space="preserve">казначейского счета и его реквизитах.</w:t>
      </w:r>
      <w:r/>
    </w:p>
    <w:p>
      <w:pPr>
        <w:pStyle w:val="917"/>
        <w:ind w:firstLine="540"/>
        <w:jc w:val="both"/>
        <w:spacing w:before="240"/>
      </w:pPr>
      <w:r>
        <w:t xml:space="preserve">21. При изменении номера казначейского счета территориальный орган Федерального казначейства направляет информацию об изменении номера казначейского счета территориальному органу Федерального казначейства, финансовому </w:t>
      </w:r>
      <w:r>
        <w:t xml:space="preserve">органу субъекта Российской Федерации (муниципального образования), органу управления государственным внебюджетным фондом не позднее рабочего дня наступления указанного события и обеспечивает внесение соответствующих изменений в Книгу регистрации казначейск</w:t>
      </w:r>
      <w:r>
        <w:t xml:space="preserve">их счетов.</w:t>
      </w:r>
      <w:r/>
    </w:p>
    <w:p>
      <w:pPr>
        <w:pStyle w:val="917"/>
        <w:ind w:firstLine="540"/>
        <w:jc w:val="both"/>
        <w:spacing w:before="240"/>
      </w:pPr>
      <w:r>
        <w:t xml:space="preserve">Абзац утратил силу. - Приказ Казначейства России от 28.11.2025 N 22н.</w:t>
      </w:r>
      <w:r/>
    </w:p>
    <w:p>
      <w:pPr>
        <w:pStyle w:val="917"/>
        <w:jc w:val="both"/>
      </w:pPr>
      <w:r/>
      <w:r/>
    </w:p>
    <w:p>
      <w:pPr>
        <w:pStyle w:val="919"/>
        <w:jc w:val="center"/>
        <w:outlineLvl w:val="1"/>
      </w:pPr>
      <w:r>
        <w:t xml:space="preserve">III. Закрытие казначейских счетов</w:t>
      </w:r>
      <w:r/>
    </w:p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>
        <w:t xml:space="preserve">22. Закрытие казначейского счета осуществляется в следующих случаях:</w:t>
      </w:r>
      <w:r/>
    </w:p>
    <w:p>
      <w:pPr>
        <w:pStyle w:val="917"/>
        <w:ind w:firstLine="540"/>
        <w:jc w:val="both"/>
        <w:spacing w:before="240"/>
      </w:pPr>
      <w:r>
        <w:t xml:space="preserve">а) преобразование (упразднение)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 (упразднение);</w:t>
      </w:r>
      <w:r/>
    </w:p>
    <w:p>
      <w:pPr>
        <w:pStyle w:val="917"/>
        <w:ind w:firstLine="540"/>
        <w:jc w:val="both"/>
        <w:spacing w:before="240"/>
      </w:pPr>
      <w:r>
        <w:t xml:space="preserve">б) иных случаях, предусмо</w:t>
      </w:r>
      <w:r>
        <w:t xml:space="preserve">тренных законодательными и иными нормативными правовыми актами Российской Федерации, настоящим порядком.</w:t>
      </w:r>
      <w:r/>
    </w:p>
    <w:p>
      <w:pPr>
        <w:pStyle w:val="917"/>
        <w:jc w:val="both"/>
      </w:pPr>
      <w:r>
        <w:t xml:space="preserve">(в ред. Приказа Казначейства России от 24.12.2024 N 24н)</w:t>
      </w:r>
      <w:r/>
    </w:p>
    <w:p>
      <w:pPr>
        <w:pStyle w:val="917"/>
        <w:ind w:firstLine="540"/>
        <w:jc w:val="both"/>
        <w:spacing w:before="240"/>
      </w:pPr>
      <w:r>
        <w:t xml:space="preserve">23. Казначейский счет закрывается после внесения изменений в Сводный реестр (за исключением ин</w:t>
      </w:r>
      <w:r>
        <w:t xml:space="preserve">ых случаев закрытия казначейского счета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фондом, предусмотренных законодательным</w:t>
      </w:r>
      <w:r>
        <w:t xml:space="preserve">и и иными нормативными правовыми актами Российской Федерации).</w:t>
      </w:r>
      <w:r/>
    </w:p>
    <w:p>
      <w:pPr>
        <w:pStyle w:val="917"/>
        <w:ind w:firstLine="540"/>
        <w:jc w:val="both"/>
        <w:spacing w:before="240"/>
      </w:pPr>
      <w:r>
        <w:t xml:space="preserve">24. При преобразовании территориального органа Федерального казначейства в форме присоединения к нему (выделения из него) другого территориального органа Федерального казначейства без изменения</w:t>
      </w:r>
      <w:r>
        <w:t xml:space="preserve"> кодов по ОКПО, ИНН и КПП, закрытие казначейских счетов, открытых данному территориальному органу Федерального казначейства не требуется.</w:t>
      </w:r>
      <w:r/>
    </w:p>
    <w:p>
      <w:pPr>
        <w:pStyle w:val="917"/>
        <w:ind w:firstLine="540"/>
        <w:jc w:val="both"/>
        <w:spacing w:before="240"/>
      </w:pPr>
      <w:r>
        <w:t xml:space="preserve">25. Для закрытия казначейского счета территориальный орган Федерального казначейства, финансовый орган субъекта Россий</w:t>
      </w:r>
      <w:r>
        <w:t xml:space="preserve">ской Федерации (муниципального образования), орган управления государственным внебюджетным фондом представляет Заявление на закрытие казначейского счета, содержащее реквизиты согласно </w:t>
      </w:r>
      <w:r>
        <w:t xml:space="preserve">приложению N 4</w:t>
      </w:r>
      <w:r>
        <w:t xml:space="preserve"> к настоящему Порядку.</w:t>
      </w:r>
      <w:r/>
    </w:p>
    <w:p>
      <w:pPr>
        <w:pStyle w:val="917"/>
        <w:ind w:firstLine="540"/>
        <w:jc w:val="both"/>
        <w:spacing w:before="240"/>
      </w:pPr>
      <w:r/>
      <w:bookmarkStart w:id="6" w:name="P237"/>
      <w:r/>
      <w:bookmarkEnd w:id="6"/>
      <w:r>
        <w:t xml:space="preserve">26. Территориальный орган Федерального казначейства не позднее рабочего дня, следующего за днем представления Заявления на закрытие казначейского счета, осуществляет проверку реквизитов, предусмотренных для зап</w:t>
      </w:r>
      <w:r>
        <w:t xml:space="preserve">олнения, соответствие их данным Сводного реестра и в случае положительного результата проверки осуществляет внесение записи в Книгу регистрации казначейских счетов, после чего казначейский счет считается закрытым.</w:t>
      </w:r>
      <w:r/>
    </w:p>
    <w:p>
      <w:pPr>
        <w:pStyle w:val="917"/>
        <w:ind w:firstLine="540"/>
        <w:jc w:val="both"/>
        <w:spacing w:before="240"/>
      </w:pPr>
      <w:r>
        <w:t xml:space="preserve">Территориальный орган Федерального казначе</w:t>
      </w:r>
      <w:r>
        <w:t xml:space="preserve">йства не позднее рабочего дня, следующего за </w:t>
      </w:r>
      <w:r>
        <w:t xml:space="preserve">днем закрытия казначейского счета, направляет территориальному органу Федерального казначейства, финансовому органу субъекта Российской Федерации (муниципального образования), органу управления государственным в</w:t>
      </w:r>
      <w:r>
        <w:t xml:space="preserve">небюджетным фондом уведомление о закрытии казначейского счета.</w:t>
      </w:r>
      <w:r/>
    </w:p>
    <w:p>
      <w:pPr>
        <w:pStyle w:val="917"/>
        <w:jc w:val="both"/>
      </w:pPr>
      <w:r>
        <w:t xml:space="preserve">(абзац введен Приказом Казначейства России от 28.12.2022 N 38н)</w:t>
      </w:r>
      <w:r/>
    </w:p>
    <w:p>
      <w:pPr>
        <w:pStyle w:val="917"/>
        <w:ind w:firstLine="540"/>
        <w:jc w:val="both"/>
        <w:spacing w:before="240"/>
      </w:pPr>
      <w:r>
        <w:t xml:space="preserve">27. Заявление на закрытие казначейского счета, не прошедшее проверку в соответствии с положениями </w:t>
      </w:r>
      <w:r>
        <w:t xml:space="preserve">пункта 26</w:t>
      </w:r>
      <w:r>
        <w:t xml:space="preserve"> настоящего Порядка, возвращается территориальным органом Федерального казначейства территориальному органу Федерального казначейства, финансовому органу субъекта Российской Федерации (муниципального образования), органу управления государствен</w:t>
      </w:r>
      <w:r>
        <w:t xml:space="preserve">ным внебюджетным фондом не позднее рабочего дня, следующего за днем после его представления вместе с уведомлением, содержащим перечень документов, подлежащих возврату, дату и причину отказа.</w:t>
      </w:r>
      <w:r/>
    </w:p>
    <w:p>
      <w:pPr>
        <w:pStyle w:val="917"/>
        <w:jc w:val="both"/>
      </w:pPr>
      <w:r>
        <w:t xml:space="preserve">(в ред. Приказа Казначейства России от 28.06.2021 N 23н)</w:t>
      </w:r>
      <w:r/>
    </w:p>
    <w:p>
      <w:pPr>
        <w:pStyle w:val="917"/>
        <w:ind w:firstLine="540"/>
        <w:jc w:val="both"/>
        <w:spacing w:before="240"/>
      </w:pPr>
      <w:r>
        <w:t xml:space="preserve">28. Казн</w:t>
      </w:r>
      <w:r>
        <w:t xml:space="preserve">ачейский счет закрывается при отсутствии на нем денежных средств.</w:t>
      </w:r>
      <w:r/>
    </w:p>
    <w:p>
      <w:pPr>
        <w:pStyle w:val="917"/>
        <w:ind w:firstLine="540"/>
        <w:jc w:val="both"/>
        <w:spacing w:before="240"/>
      </w:pPr>
      <w:r>
        <w:t xml:space="preserve">29. В случае наличия остатка денежных средств на закрываемом казначейском счете территориальный орган Федерального казначейства, финансовый орган субъекта Российской Федерации (муниципальног</w:t>
      </w:r>
      <w:r>
        <w:t xml:space="preserve">о образования), орган управления государственным внебюджетным фондом представляет распоряжение о совершении казначейского платежа для перечисления остатка денежных средств по назначению.</w:t>
      </w:r>
      <w:r/>
    </w:p>
    <w:p>
      <w:pPr>
        <w:pStyle w:val="917"/>
        <w:ind w:firstLine="540"/>
        <w:jc w:val="both"/>
        <w:spacing w:before="240"/>
      </w:pPr>
      <w:r>
        <w:t xml:space="preserve">В течение одного рабочего дня после перечисления денежных средств каз</w:t>
      </w:r>
      <w:r>
        <w:t xml:space="preserve">начейский счет закрывается, вносится запись в Книгу регистрации казначейских счетов.</w:t>
      </w:r>
      <w:r/>
    </w:p>
    <w:p>
      <w:pPr>
        <w:pStyle w:val="917"/>
        <w:ind w:firstLine="540"/>
        <w:jc w:val="both"/>
        <w:spacing w:before="240"/>
      </w:pPr>
      <w:r>
        <w:t xml:space="preserve">30. Денежные средства, поступившие на казначейский счет территориального органа Федерального казначейства, финансового органа субъекта Российской Федерации (муниципального</w:t>
      </w:r>
      <w:r>
        <w:t xml:space="preserve"> образования), органа управления государственным внебюджетным фондом после его закрытия, перечисляются на основании распоряжения о совершении казначейского платежа, составленного территориальным органом Федерального казначейства, в соответствии с реквизита</w:t>
      </w:r>
      <w:r>
        <w:t xml:space="preserve">ми, указанными территориальным органом Федерального казначейства, финансовым органом субъекта Российской Федерации (муниципального образования), органом управления государственным внебюджетным фондом, в Заявлении на закрытие казначейского счета.</w:t>
      </w:r>
      <w:r/>
    </w:p>
    <w:p>
      <w:pPr>
        <w:pStyle w:val="917"/>
        <w:ind w:firstLine="540"/>
        <w:jc w:val="both"/>
        <w:spacing w:before="240"/>
      </w:pPr>
      <w:r>
        <w:t xml:space="preserve">31. Утрати</w:t>
      </w:r>
      <w:r>
        <w:t xml:space="preserve">л силу. - Приказ Казначейства России от 28.11.2025 N 22н.</w:t>
      </w:r>
      <w:r/>
    </w:p>
    <w:p>
      <w:pPr>
        <w:pStyle w:val="917"/>
        <w:jc w:val="both"/>
      </w:pPr>
      <w:r/>
      <w:r/>
    </w:p>
    <w:p>
      <w:pPr>
        <w:pStyle w:val="919"/>
        <w:jc w:val="center"/>
        <w:outlineLvl w:val="1"/>
      </w:pPr>
      <w:r>
        <w:t xml:space="preserve">IV. Документооборот при ведении казначейских счетов</w:t>
      </w:r>
      <w:r/>
    </w:p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>
        <w:t xml:space="preserve">32. Территориальный орган Федерального казначейства направляет территориальному органу Федерального казначейства, финансовому органу субъекта Ро</w:t>
      </w:r>
      <w:r>
        <w:t xml:space="preserve">ссийской Федерации (муниципального образования), органу управления государственным внебюджетным фондом выписку из казначейского счета, содержащую следующие обязательные реквизиты:</w:t>
      </w:r>
      <w:r/>
    </w:p>
    <w:p>
      <w:pPr>
        <w:pStyle w:val="917"/>
        <w:jc w:val="both"/>
      </w:pPr>
      <w:r>
        <w:t xml:space="preserve">(в ред. Приказа Казначейства России от 24.12.2024 N 24н)</w:t>
      </w:r>
      <w:r/>
    </w:p>
    <w:p>
      <w:pPr>
        <w:pStyle w:val="917"/>
        <w:ind w:firstLine="540"/>
        <w:jc w:val="both"/>
        <w:spacing w:before="240"/>
      </w:pPr>
      <w:r>
        <w:t xml:space="preserve">дата формирования в</w:t>
      </w:r>
      <w:r>
        <w:t xml:space="preserve">ыписки;</w:t>
      </w:r>
      <w:r/>
    </w:p>
    <w:p>
      <w:pPr>
        <w:pStyle w:val="917"/>
        <w:ind w:firstLine="540"/>
        <w:jc w:val="both"/>
        <w:spacing w:before="240"/>
      </w:pPr>
      <w:r>
        <w:t xml:space="preserve">остаток на начало дня формирования выписки;</w:t>
      </w:r>
      <w:r/>
    </w:p>
    <w:p>
      <w:pPr>
        <w:pStyle w:val="917"/>
        <w:ind w:firstLine="540"/>
        <w:jc w:val="both"/>
        <w:spacing w:before="240"/>
      </w:pPr>
      <w:r>
        <w:t xml:space="preserve">остаток на конец дня формирования выписки;</w:t>
      </w:r>
      <w:r/>
    </w:p>
    <w:p>
      <w:pPr>
        <w:pStyle w:val="917"/>
        <w:ind w:firstLine="540"/>
        <w:jc w:val="both"/>
        <w:spacing w:before="240"/>
      </w:pPr>
      <w:r>
        <w:t xml:space="preserve">номер и дата документа, на основании которого отражена операция на казначейском счете;</w:t>
      </w:r>
      <w:r/>
    </w:p>
    <w:p>
      <w:pPr>
        <w:pStyle w:val="917"/>
        <w:ind w:firstLine="540"/>
        <w:jc w:val="both"/>
        <w:spacing w:before="240"/>
      </w:pPr>
      <w:r>
        <w:t xml:space="preserve">сумма поступлений;</w:t>
      </w:r>
      <w:r/>
    </w:p>
    <w:p>
      <w:pPr>
        <w:pStyle w:val="917"/>
        <w:ind w:firstLine="540"/>
        <w:jc w:val="both"/>
        <w:spacing w:before="240"/>
      </w:pPr>
      <w:r>
        <w:t xml:space="preserve">сумма перечислений;</w:t>
      </w:r>
      <w:r/>
    </w:p>
    <w:p>
      <w:pPr>
        <w:pStyle w:val="917"/>
        <w:ind w:firstLine="540"/>
        <w:jc w:val="both"/>
        <w:spacing w:before="240"/>
      </w:pPr>
      <w:r>
        <w:t xml:space="preserve">итоговая сумма поступлений;</w:t>
      </w:r>
      <w:r/>
    </w:p>
    <w:p>
      <w:pPr>
        <w:pStyle w:val="917"/>
        <w:ind w:firstLine="540"/>
        <w:jc w:val="both"/>
        <w:spacing w:before="240"/>
      </w:pPr>
      <w:r>
        <w:t xml:space="preserve">итоговая сумма перечислений;</w:t>
      </w:r>
      <w:r/>
    </w:p>
    <w:p>
      <w:pPr>
        <w:pStyle w:val="917"/>
        <w:ind w:firstLine="540"/>
        <w:jc w:val="both"/>
        <w:spacing w:before="240"/>
      </w:pPr>
      <w:r>
        <w:t xml:space="preserve">счет отправителя;</w:t>
      </w:r>
      <w:r/>
    </w:p>
    <w:p>
      <w:pPr>
        <w:pStyle w:val="917"/>
        <w:ind w:firstLine="540"/>
        <w:jc w:val="both"/>
        <w:spacing w:before="240"/>
      </w:pPr>
      <w:r>
        <w:t xml:space="preserve">счет получателя;</w:t>
      </w:r>
      <w:r/>
    </w:p>
    <w:p>
      <w:pPr>
        <w:pStyle w:val="917"/>
        <w:ind w:firstLine="540"/>
        <w:jc w:val="both"/>
        <w:spacing w:before="240"/>
      </w:pPr>
      <w:r>
        <w:t xml:space="preserve">назначение платежа.</w:t>
      </w:r>
      <w:r/>
    </w:p>
    <w:p>
      <w:pPr>
        <w:pStyle w:val="917"/>
        <w:ind w:firstLine="540"/>
        <w:jc w:val="both"/>
        <w:spacing w:before="240"/>
      </w:pPr>
      <w:r>
        <w:t xml:space="preserve">33. Выписки из казначейских счетов, предоставляемые территориальными органами Федерального казначейства в электронном виде, подписываются усиленной квалифицированной электр</w:t>
      </w:r>
      <w:r>
        <w:t xml:space="preserve">онной подписью территориального органа Федерального казначейства (Федерального казначейства), квалифицированный сертификат ключа </w:t>
      </w:r>
      <w:r>
        <w:t xml:space="preserve">проверки</w:t>
      </w:r>
      <w:r>
        <w:t xml:space="preserve"> которой содержит указание только на территориальный орган Федерального казначейства (Федеральное казначейство) в качес</w:t>
      </w:r>
      <w:r>
        <w:t xml:space="preserve">тве владельца данного сертификата. Указание информации об ответственных исполнителях (ответственных сотрудниках) в соответствующих реквизитах форм данных документов осуществляется только в случае предоставления выписки из казначейского счета на бумажном но</w:t>
      </w:r>
      <w:r>
        <w:t xml:space="preserve">сителе.</w:t>
      </w:r>
      <w:r/>
    </w:p>
    <w:p>
      <w:pPr>
        <w:pStyle w:val="917"/>
        <w:jc w:val="both"/>
      </w:pPr>
      <w:r>
        <w:t xml:space="preserve">(п. 33 в ред. Приказа Казначейства России от 28.12.2022 N 38н)</w:t>
      </w:r>
      <w:r/>
    </w:p>
    <w:p>
      <w:pPr>
        <w:pStyle w:val="917"/>
        <w:ind w:firstLine="540"/>
        <w:jc w:val="both"/>
        <w:spacing w:before="240"/>
      </w:pPr>
      <w:r>
        <w:t xml:space="preserve">34. Хранение выписок из казначейских счетов осуществляется территориальным органом Федерального казначейства в соответствии с правилами делопроизводства.</w:t>
      </w:r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right"/>
        <w:outlineLvl w:val="1"/>
      </w:pPr>
      <w:r>
        <w:t xml:space="preserve">Приложение N 1</w:t>
      </w:r>
      <w:r/>
    </w:p>
    <w:p>
      <w:pPr>
        <w:pStyle w:val="917"/>
        <w:jc w:val="right"/>
      </w:pPr>
      <w:r>
        <w:t xml:space="preserve">к Порядку о</w:t>
      </w:r>
      <w:r>
        <w:t xml:space="preserve">ткрытия казначейских счетов</w:t>
      </w:r>
      <w:r/>
    </w:p>
    <w:p>
      <w:pPr>
        <w:pStyle w:val="917"/>
        <w:jc w:val="both"/>
      </w:pPr>
      <w:r/>
      <w:r/>
    </w:p>
    <w:p>
      <w:pPr>
        <w:pStyle w:val="919"/>
        <w:jc w:val="center"/>
      </w:pPr>
      <w:r/>
      <w:bookmarkStart w:id="7" w:name="P274"/>
      <w:r/>
      <w:bookmarkEnd w:id="7"/>
      <w:r>
        <w:t xml:space="preserve">РЕКВИЗИТЫ ЗАЯВЛЕНИЯ НА ОТКРЫТИЕ КАЗНАЧЕЙСКОГО СЧЕТА</w:t>
      </w:r>
      <w:r/>
    </w:p>
    <w:p>
      <w:pPr>
        <w:pStyle w:val="917"/>
        <w:spacing w:after="1"/>
      </w:pPr>
      <w:r/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0"/>
        <w:gridCol w:w="153"/>
        <w:gridCol w:w="9921"/>
        <w:gridCol w:w="113"/>
      </w:tblGrid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9921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Список изменяющих документов</w:t>
            </w:r>
            <w:r/>
          </w:p>
          <w:p>
            <w:pPr>
              <w:pStyle w:val="917"/>
              <w:jc w:val="center"/>
            </w:pPr>
            <w:r>
              <w:t xml:space="preserve">(в ред. Приказов Казначейства России от 24.12.2024 N 24н,</w:t>
            </w:r>
            <w:r/>
          </w:p>
          <w:p>
            <w:pPr>
              <w:pStyle w:val="917"/>
              <w:jc w:val="center"/>
            </w:pPr>
            <w:r>
              <w:t xml:space="preserve">от 28.11.2025 N 22н)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125"/>
        <w:gridCol w:w="5928"/>
      </w:tblGrid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Наименование реквизита</w:t>
            </w:r>
            <w:r/>
          </w:p>
        </w:tc>
        <w:tc>
          <w:tcPr>
            <w:tcW w:w="5928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Правила формирования, заполнения реквизита</w:t>
            </w:r>
            <w:r/>
          </w:p>
        </w:tc>
      </w:tr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1. Наименование клиента</w:t>
            </w:r>
            <w:r/>
          </w:p>
        </w:tc>
        <w:tc>
          <w:tcPr>
            <w:tcW w:w="5928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полное наименование (с учетом символа "N", кавычек, скобок, знаков препинания) территориального </w:t>
            </w:r>
            <w:r>
              <w:t xml:space="preserve">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 в соответствии с полным наименованием, указанным в его реестровой записи Сводного реестра</w:t>
            </w:r>
            <w:r/>
          </w:p>
        </w:tc>
      </w:tr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2. ИНН</w:t>
            </w:r>
            <w:r/>
          </w:p>
        </w:tc>
        <w:tc>
          <w:tcPr>
            <w:tcW w:w="5928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идентификационный номер налогоплательщика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</w:t>
            </w:r>
            <w:r/>
          </w:p>
        </w:tc>
      </w:tr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3. КПП</w:t>
            </w:r>
            <w:r/>
          </w:p>
        </w:tc>
        <w:tc>
          <w:tcPr>
            <w:tcW w:w="5928" w:type="dxa"/>
            <w:textDirection w:val="lrTb"/>
            <w:noWrap w:val="false"/>
          </w:tcPr>
          <w:p>
            <w:pPr>
              <w:pStyle w:val="917"/>
            </w:pPr>
            <w:r>
              <w:t xml:space="preserve">У</w:t>
            </w:r>
            <w:r>
              <w:t xml:space="preserve">казывается код причины постановки на учет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</w:t>
            </w:r>
            <w:r/>
          </w:p>
        </w:tc>
      </w:tr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4. Код по Сводному реестру</w:t>
            </w:r>
            <w:r/>
          </w:p>
        </w:tc>
        <w:tc>
          <w:tcPr>
            <w:tcW w:w="5928" w:type="dxa"/>
            <w:textDirection w:val="lrTb"/>
            <w:noWrap w:val="false"/>
          </w:tcPr>
          <w:p>
            <w:pPr>
              <w:pStyle w:val="917"/>
            </w:pPr>
            <w:r>
              <w:t xml:space="preserve">Ук</w:t>
            </w:r>
            <w:r>
              <w:t xml:space="preserve">азывается код по Сводному реестру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</w:t>
            </w:r>
            <w:r/>
          </w:p>
        </w:tc>
      </w:tr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5. Код по ОКПО</w:t>
            </w:r>
            <w:r/>
          </w:p>
        </w:tc>
        <w:tc>
          <w:tcPr>
            <w:tcW w:w="5928" w:type="dxa"/>
            <w:textDirection w:val="lrTb"/>
            <w:noWrap w:val="false"/>
          </w:tcPr>
          <w:p>
            <w:pPr>
              <w:pStyle w:val="917"/>
              <w:jc w:val="both"/>
            </w:pPr>
            <w:r>
              <w:t xml:space="preserve">Указывается код по Общ</w:t>
            </w:r>
            <w:r>
              <w:t xml:space="preserve">ероссийскому классификатору предприятий и организаций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</w:t>
            </w:r>
            <w:r/>
          </w:p>
        </w:tc>
      </w:tr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6. Код ОКТМО</w:t>
            </w:r>
            <w:r/>
          </w:p>
        </w:tc>
        <w:tc>
          <w:tcPr>
            <w:tcW w:w="5928" w:type="dxa"/>
            <w:textDirection w:val="lrTb"/>
            <w:noWrap w:val="false"/>
          </w:tcPr>
          <w:p>
            <w:pPr>
              <w:pStyle w:val="917"/>
              <w:jc w:val="both"/>
            </w:pPr>
            <w:r>
              <w:t xml:space="preserve">Указ</w:t>
            </w:r>
            <w:r>
              <w:t xml:space="preserve">ывается код по Общероссийскому классификатору территорий муниципальных образований территориального органа Федерального казначейства, финансового органа субъекта Российской Федерации </w:t>
            </w:r>
            <w:r>
              <w:t xml:space="preserve">(муниципального образования), органа управления государственным внебюджет</w:t>
            </w:r>
            <w:r>
              <w:t xml:space="preserve">ным фондом</w:t>
            </w:r>
            <w:r/>
          </w:p>
        </w:tc>
      </w:tr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7. Наименование открываемого казначейского счета</w:t>
            </w:r>
            <w:r/>
          </w:p>
        </w:tc>
        <w:tc>
          <w:tcPr>
            <w:tcW w:w="5928" w:type="dxa"/>
            <w:vAlign w:val="bottom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наименование соответствующего вида казначейского счета (видов казначейских счетов) в соответствии с видами казначейских счетов, предусмотренными </w:t>
            </w:r>
            <w:r>
              <w:t xml:space="preserve">пунктом 2</w:t>
            </w:r>
            <w:r>
              <w:t xml:space="preserve"> настоящего Порядка</w:t>
            </w:r>
            <w:r/>
          </w:p>
        </w:tc>
      </w:tr>
      <w:tr>
        <w:tblPrEx/>
        <w:trPr/>
        <w:tc>
          <w:tcPr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8. Код валюты</w:t>
            </w:r>
            <w:r/>
          </w:p>
        </w:tc>
        <w:tc>
          <w:tcPr>
            <w:tcW w:w="5928" w:type="dxa"/>
            <w:vAlign w:val="bottom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код валюты по Общероссийскому классификатору валют</w:t>
            </w:r>
            <w:r/>
          </w:p>
        </w:tc>
      </w:tr>
      <w:tr>
        <w:tblPrEx/>
        <w:trPr/>
        <w:tc>
          <w:tcPr>
            <w:tcBorders>
              <w:bottom w:val="none" w:color="000000" w:sz="4" w:space="0"/>
            </w:tcBorders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8(1). Дата открытия</w:t>
            </w:r>
            <w:r>
              <w:t xml:space="preserve"> казначейского счета </w:t>
            </w:r>
            <w:r>
              <w:t xml:space="preserve">&lt;1.1&gt;</w:t>
            </w:r>
            <w:r/>
          </w:p>
        </w:tc>
        <w:tc>
          <w:tcPr>
            <w:tcBorders>
              <w:bottom w:val="none" w:color="000000" w:sz="4" w:space="0"/>
            </w:tcBorders>
            <w:tcW w:w="5928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дата начала действия открываемого казначейского счета в фор</w:t>
            </w:r>
            <w:r>
              <w:t xml:space="preserve">мате "день, месяц, год" (00.00.0000)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</w:tcBorders>
            <w:tcW w:w="9053" w:type="dxa"/>
            <w:textDirection w:val="lrTb"/>
            <w:noWrap w:val="false"/>
          </w:tcPr>
          <w:p>
            <w:pPr>
              <w:pStyle w:val="917"/>
              <w:jc w:val="both"/>
            </w:pPr>
            <w:r>
              <w:t xml:space="preserve">(п. 8(1) введен Приказом Казначейства России от 28.11.2025 N 22н)</w:t>
            </w:r>
            <w:r/>
          </w:p>
        </w:tc>
      </w:tr>
      <w:tr>
        <w:tblPrEx/>
        <w:trPr/>
        <w:tc>
          <w:tcPr>
            <w:tcW w:w="3125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t xml:space="preserve">9. Руководитель клиента (уполномоченное лицо)</w:t>
            </w:r>
            <w:r/>
          </w:p>
        </w:tc>
        <w:tc>
          <w:tcPr>
            <w:tcW w:w="5928" w:type="dxa"/>
            <w:vAlign w:val="bottom"/>
            <w:textDirection w:val="lrTb"/>
            <w:noWrap w:val="false"/>
          </w:tcPr>
          <w:p>
            <w:pPr>
              <w:pStyle w:val="917"/>
            </w:pPr>
            <w:r>
              <w:t xml:space="preserve">Указываются фамилия, имя, отчество (полностью) руководителя (уполномоченного лица)</w:t>
            </w:r>
            <w:r/>
          </w:p>
        </w:tc>
      </w:tr>
      <w:tr>
        <w:tblPrEx/>
        <w:trPr/>
        <w:tc>
          <w:tcPr>
            <w:tcBorders>
              <w:bottom w:val="none" w:color="000000" w:sz="4" w:space="0"/>
            </w:tcBorders>
            <w:tcW w:w="3125" w:type="dxa"/>
            <w:textDirection w:val="lrTb"/>
            <w:noWrap w:val="false"/>
          </w:tcPr>
          <w:p>
            <w:pPr>
              <w:pStyle w:val="917"/>
            </w:pPr>
            <w:r>
              <w:t xml:space="preserve">10. Главный бухгалтер клиента (уполномоченное лицо) </w:t>
            </w:r>
            <w:r>
              <w:t xml:space="preserve">&lt;2&gt;</w:t>
            </w:r>
            <w:r/>
          </w:p>
        </w:tc>
        <w:tc>
          <w:tcPr>
            <w:tcBorders>
              <w:bottom w:val="none" w:color="000000" w:sz="4" w:space="0"/>
            </w:tcBorders>
            <w:tcW w:w="5928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Указываются фамилия, имя, отчество (полност</w:t>
            </w:r>
            <w:r>
              <w:t xml:space="preserve">ью) главного бухгалтера (уполномоченного лица)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</w:tcBorders>
            <w:tcW w:w="9053" w:type="dxa"/>
            <w:textDirection w:val="lrTb"/>
            <w:noWrap w:val="false"/>
          </w:tcPr>
          <w:p>
            <w:pPr>
              <w:pStyle w:val="917"/>
              <w:jc w:val="both"/>
            </w:pPr>
            <w:r>
              <w:t xml:space="preserve">(п. 10 в ред. Приказа Казначейства России от 24.12.2024 N 24н)</w:t>
            </w:r>
            <w:r/>
          </w:p>
        </w:tc>
      </w:tr>
    </w:tbl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>
        <w:t xml:space="preserve">--------------------------------</w:t>
      </w:r>
      <w:r/>
    </w:p>
    <w:p>
      <w:pPr>
        <w:pStyle w:val="917"/>
        <w:ind w:firstLine="540"/>
        <w:jc w:val="both"/>
        <w:spacing w:before="240"/>
      </w:pPr>
      <w:r/>
      <w:bookmarkStart w:id="8" w:name="P307"/>
      <w:r/>
      <w:bookmarkEnd w:id="8"/>
      <w:r>
        <w:t xml:space="preserve">&lt;1.1&gt;</w:t>
      </w:r>
      <w:r>
        <w:t xml:space="preserve"> Заполняется в случае оформления заявления на открытие казначейского счета с отложенной датой открытия казначейского счета.</w:t>
      </w:r>
      <w:r/>
    </w:p>
    <w:p>
      <w:pPr>
        <w:pStyle w:val="917"/>
        <w:jc w:val="both"/>
      </w:pPr>
      <w:r>
        <w:t xml:space="preserve">(сноска введена Приказом Казначейства России от 28.11.2025 N 22н)</w:t>
      </w:r>
      <w:r/>
    </w:p>
    <w:p>
      <w:pPr>
        <w:pStyle w:val="917"/>
        <w:ind w:firstLine="540"/>
        <w:jc w:val="both"/>
        <w:spacing w:before="240"/>
      </w:pPr>
      <w:r/>
      <w:bookmarkStart w:id="9" w:name="P309"/>
      <w:r/>
      <w:bookmarkEnd w:id="9"/>
      <w:r>
        <w:t xml:space="preserve">&lt;2&gt; Заполняется при предоставлении Заявления на открытие казначейс</w:t>
      </w:r>
      <w:r>
        <w:t xml:space="preserve">кого счета территориальному органу Федерального казначейства.</w:t>
      </w:r>
      <w:r/>
    </w:p>
    <w:p>
      <w:pPr>
        <w:pStyle w:val="917"/>
        <w:jc w:val="both"/>
      </w:pPr>
      <w:r>
        <w:t xml:space="preserve">(сноска введена Приказом Казначейства России от 24.12.2024 N 24н)</w:t>
      </w:r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right"/>
        <w:outlineLvl w:val="1"/>
      </w:pPr>
      <w:r>
        <w:t xml:space="preserve">Приложение N 2</w:t>
      </w:r>
      <w:r/>
    </w:p>
    <w:p>
      <w:pPr>
        <w:pStyle w:val="917"/>
        <w:jc w:val="right"/>
      </w:pPr>
      <w:r>
        <w:t xml:space="preserve">к Порядку открытия казначейских счетов</w:t>
      </w:r>
      <w:r/>
    </w:p>
    <w:p>
      <w:pPr>
        <w:pStyle w:val="917"/>
        <w:spacing w:after="1"/>
      </w:pPr>
      <w:r/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Список изменяющих документов</w:t>
            </w:r>
            <w:r/>
          </w:p>
          <w:p>
            <w:pPr>
              <w:pStyle w:val="917"/>
              <w:jc w:val="center"/>
            </w:pPr>
            <w:r>
              <w:t xml:space="preserve">(в ред. Приказа</w:t>
            </w:r>
            <w:r>
              <w:t xml:space="preserve"> Казначейства России от 28.06.2021 N 23н)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Borders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066"/>
        <w:gridCol w:w="1245"/>
        <w:gridCol w:w="170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6066" w:type="dxa"/>
            <w:textDirection w:val="lrTb"/>
            <w:noWrap w:val="false"/>
          </w:tcPr>
          <w:p>
            <w:pPr>
              <w:pStyle w:val="917"/>
              <w:jc w:val="right"/>
            </w:pPr>
            <w:r/>
            <w:bookmarkStart w:id="10" w:name="P321"/>
            <w:r/>
            <w:bookmarkEnd w:id="10"/>
            <w:r>
              <w:t xml:space="preserve">КАРТОЧКА ОБРАЗЦОВ ПОДПИСЕЙ N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1245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2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К КАЗНАЧЕЙСКИМ СЧЕТАМ N __________________________</w:t>
            </w:r>
            <w:r/>
          </w:p>
          <w:p>
            <w:pPr>
              <w:pStyle w:val="917"/>
              <w:jc w:val="center"/>
            </w:pPr>
            <w:r>
              <w:t xml:space="preserve">______________________________________________________</w:t>
            </w:r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Borders>
          <w:right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165"/>
        <w:gridCol w:w="3015"/>
        <w:gridCol w:w="1531"/>
        <w:gridCol w:w="1304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</w:tcBorders>
            <w:tcW w:w="7711" w:type="dxa"/>
            <w:vAlign w:val="bottom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1304" w:type="dxa"/>
            <w:vAlign w:val="bottom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Коды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531" w:type="dxa"/>
            <w:vAlign w:val="bottom"/>
            <w:textDirection w:val="lrTb"/>
            <w:noWrap w:val="false"/>
          </w:tcPr>
          <w:p>
            <w:pPr>
              <w:pStyle w:val="917"/>
              <w:jc w:val="right"/>
            </w:pPr>
            <w:r>
              <w:t xml:space="preserve">Форма по КФД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vAlign w:val="bottom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0531376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vAlign w:val="bottom"/>
            <w:textDirection w:val="lrTb"/>
            <w:noWrap w:val="false"/>
          </w:tcPr>
          <w:p>
            <w:pPr>
              <w:pStyle w:val="917"/>
              <w:jc w:val="center"/>
            </w:pPr>
            <w:r/>
            <w:bookmarkStart w:id="11" w:name="P332"/>
            <w:r/>
            <w:bookmarkEnd w:id="11"/>
            <w:r>
              <w:t xml:space="preserve">от "__" ___________ 20__ г.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531" w:type="dxa"/>
            <w:vAlign w:val="bottom"/>
            <w:textDirection w:val="lrTb"/>
            <w:noWrap w:val="false"/>
          </w:tcPr>
          <w:p>
            <w:pPr>
              <w:pStyle w:val="917"/>
              <w:jc w:val="right"/>
            </w:pPr>
            <w:r>
              <w:t xml:space="preserve">Дата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65" w:type="dxa"/>
            <w:vAlign w:val="bottom"/>
            <w:textDirection w:val="lrTb"/>
            <w:noWrap w:val="false"/>
          </w:tcPr>
          <w:p>
            <w:pPr>
              <w:pStyle w:val="917"/>
            </w:pPr>
            <w:r/>
            <w:bookmarkStart w:id="12" w:name="P335"/>
            <w:r/>
            <w:bookmarkEnd w:id="12"/>
            <w:r>
              <w:t xml:space="preserve">Наименование клиента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015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531" w:type="dxa"/>
            <w:vAlign w:val="bottom"/>
            <w:textDirection w:val="lrTb"/>
            <w:noWrap w:val="false"/>
          </w:tcPr>
          <w:p>
            <w:pPr>
              <w:pStyle w:val="917"/>
              <w:jc w:val="right"/>
            </w:pPr>
            <w:r>
              <w:t xml:space="preserve">по ОКПО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531" w:type="dxa"/>
            <w:textDirection w:val="lrTb"/>
            <w:noWrap w:val="false"/>
          </w:tcPr>
          <w:p>
            <w:pPr>
              <w:pStyle w:val="917"/>
              <w:jc w:val="right"/>
            </w:pPr>
            <w:r>
              <w:t xml:space="preserve">по Сводному реестру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531" w:type="dxa"/>
            <w:vAlign w:val="bottom"/>
            <w:textDirection w:val="lrTb"/>
            <w:noWrap w:val="false"/>
          </w:tcPr>
          <w:p>
            <w:pPr>
              <w:pStyle w:val="917"/>
              <w:jc w:val="right"/>
            </w:pPr>
            <w:r>
              <w:t xml:space="preserve">ИНН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18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W w:w="1531" w:type="dxa"/>
            <w:textDirection w:val="lrTb"/>
            <w:noWrap w:val="false"/>
          </w:tcPr>
          <w:p>
            <w:pPr>
              <w:pStyle w:val="917"/>
              <w:jc w:val="right"/>
            </w:pPr>
            <w:r>
              <w:t xml:space="preserve">КПП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1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vAlign w:val="bottom"/>
            <w:textDirection w:val="lrTb"/>
            <w:noWrap w:val="false"/>
          </w:tcPr>
          <w:p>
            <w:pPr>
              <w:pStyle w:val="917"/>
              <w:jc w:val="center"/>
              <w:outlineLvl w:val="2"/>
            </w:pPr>
            <w:r/>
            <w:bookmarkStart w:id="13" w:name="P349"/>
            <w:r/>
            <w:bookmarkEnd w:id="13"/>
            <w:r>
              <w:t xml:space="preserve">Образцы подписей должностных лиц клиента, имеющих право подписи распоряжений и иных документов при совершении операций по казначейскому счету</w:t>
            </w:r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Borders>
          <w:top w:val="single" w:color="000000" w:sz="4" w:space="0"/>
          <w:bottom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056"/>
        <w:gridCol w:w="1474"/>
        <w:gridCol w:w="1814"/>
        <w:gridCol w:w="1982"/>
        <w:gridCol w:w="2707"/>
      </w:tblGrid>
      <w:tr>
        <w:tblPrEx/>
        <w:trPr/>
        <w:tc>
          <w:tcPr>
            <w:tcBorders>
              <w:left w:val="none" w:color="000000" w:sz="4" w:space="0"/>
            </w:tcBorders>
            <w:tcW w:w="1056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Право подписи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Должность</w:t>
            </w:r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Фамилия, имя, отчество</w:t>
            </w:r>
            <w:r/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Образец подписи</w:t>
            </w:r>
            <w:r/>
          </w:p>
        </w:tc>
        <w:tc>
          <w:tcPr>
            <w:tcBorders>
              <w:right w:val="none" w:color="000000" w:sz="4" w:space="0"/>
            </w:tcBorders>
            <w:tcW w:w="2707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Срок полномочий лиц, временно пользующихся правом подписи</w:t>
            </w:r>
            <w:r/>
          </w:p>
        </w:tc>
      </w:tr>
      <w:tr>
        <w:tblPrEx/>
        <w:trPr/>
        <w:tc>
          <w:tcPr>
            <w:tcBorders>
              <w:left w:val="none" w:color="000000" w:sz="4" w:space="0"/>
            </w:tcBorders>
            <w:tcW w:w="1056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1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917"/>
              <w:jc w:val="center"/>
            </w:pPr>
            <w:r/>
            <w:bookmarkStart w:id="14" w:name="P357"/>
            <w:r/>
            <w:bookmarkEnd w:id="14"/>
            <w:r>
              <w:t xml:space="preserve">2</w:t>
            </w:r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917"/>
              <w:jc w:val="center"/>
            </w:pPr>
            <w:r/>
            <w:bookmarkStart w:id="15" w:name="P358"/>
            <w:r/>
            <w:bookmarkEnd w:id="15"/>
            <w:r>
              <w:t xml:space="preserve">3</w:t>
            </w:r>
            <w:r/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917"/>
              <w:jc w:val="center"/>
            </w:pPr>
            <w:r/>
            <w:bookmarkStart w:id="16" w:name="P359"/>
            <w:r/>
            <w:bookmarkEnd w:id="16"/>
            <w:r>
              <w:t xml:space="preserve">4</w:t>
            </w:r>
            <w:r/>
          </w:p>
        </w:tc>
        <w:tc>
          <w:tcPr>
            <w:tcBorders>
              <w:right w:val="none" w:color="000000" w:sz="4" w:space="0"/>
            </w:tcBorders>
            <w:tcW w:w="2707" w:type="dxa"/>
            <w:textDirection w:val="lrTb"/>
            <w:noWrap w:val="false"/>
          </w:tcPr>
          <w:p>
            <w:pPr>
              <w:pStyle w:val="917"/>
              <w:jc w:val="center"/>
            </w:pPr>
            <w:r/>
            <w:bookmarkStart w:id="17" w:name="P360"/>
            <w:r/>
            <w:bookmarkEnd w:id="17"/>
            <w:r>
              <w:t xml:space="preserve">5</w:t>
            </w:r>
            <w:r/>
          </w:p>
        </w:tc>
      </w:tr>
      <w:tr>
        <w:tblPrEx/>
        <w:trPr/>
        <w:tc>
          <w:tcPr>
            <w:tcBorders>
              <w:left w:val="none" w:color="000000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первой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right w:val="none" w:color="000000" w:sz="4" w:space="0"/>
            </w:tcBorders>
            <w:tcW w:w="2707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tcBorders>
              <w:left w:val="none" w:color="000000" w:sz="4" w:space="0"/>
            </w:tcBorders>
            <w:tcW w:w="1056" w:type="dxa"/>
            <w:vMerge w:val="continue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right w:val="none" w:color="000000" w:sz="4" w:space="0"/>
            </w:tcBorders>
            <w:tcW w:w="2707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tcBorders>
              <w:left w:val="none" w:color="000000" w:sz="4" w:space="0"/>
            </w:tcBorders>
            <w:tcW w:w="1056" w:type="dxa"/>
            <w:vMerge w:val="continue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right w:val="none" w:color="000000" w:sz="4" w:space="0"/>
            </w:tcBorders>
            <w:tcW w:w="2707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tcBorders>
              <w:left w:val="none" w:color="000000" w:sz="4" w:space="0"/>
            </w:tcBorders>
            <w:tcW w:w="1056" w:type="dxa"/>
            <w:vAlign w:val="center"/>
            <w:vMerge w:val="restart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второй</w:t>
            </w:r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right w:val="none" w:color="000000" w:sz="4" w:space="0"/>
            </w:tcBorders>
            <w:tcW w:w="2707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tcBorders>
              <w:left w:val="none" w:color="000000" w:sz="4" w:space="0"/>
            </w:tcBorders>
            <w:tcW w:w="1056" w:type="dxa"/>
            <w:vMerge w:val="continue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right w:val="none" w:color="000000" w:sz="4" w:space="0"/>
            </w:tcBorders>
            <w:tcW w:w="2707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tcBorders>
              <w:left w:val="none" w:color="000000" w:sz="4" w:space="0"/>
            </w:tcBorders>
            <w:tcW w:w="1056" w:type="dxa"/>
            <w:vMerge w:val="continue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right w:val="none" w:color="000000" w:sz="4" w:space="0"/>
            </w:tcBorders>
            <w:tcW w:w="2707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130"/>
        <w:gridCol w:w="340"/>
        <w:gridCol w:w="1474"/>
        <w:gridCol w:w="340"/>
        <w:gridCol w:w="1229"/>
        <w:gridCol w:w="340"/>
        <w:gridCol w:w="215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0" w:type="dxa"/>
            <w:vAlign w:val="bottom"/>
            <w:textDirection w:val="lrTb"/>
            <w:noWrap w:val="false"/>
          </w:tcPr>
          <w:p>
            <w:pPr>
              <w:pStyle w:val="917"/>
            </w:pPr>
            <w:r>
              <w:t xml:space="preserve">Руководитель клиента</w:t>
            </w:r>
            <w:r/>
          </w:p>
          <w:p>
            <w:pPr>
              <w:pStyle w:val="917"/>
            </w:pPr>
            <w:r>
              <w:t xml:space="preserve">(уполномоченное лицо)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229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5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29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54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(расшифровка подписи)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29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54" w:type="dxa"/>
            <w:textDirection w:val="lrTb"/>
            <w:noWrap w:val="false"/>
          </w:tcPr>
          <w:p>
            <w:pPr>
              <w:pStyle w:val="917"/>
            </w:pPr>
            <w:r>
              <w:t xml:space="preserve">М.П.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0" w:type="dxa"/>
            <w:vAlign w:val="bottom"/>
            <w:textDirection w:val="lrTb"/>
            <w:noWrap w:val="false"/>
          </w:tcPr>
          <w:p>
            <w:pPr>
              <w:pStyle w:val="917"/>
            </w:pPr>
            <w:r>
              <w:t xml:space="preserve">Главный бухгалтер клиента</w:t>
            </w:r>
            <w:r/>
          </w:p>
          <w:p>
            <w:pPr>
              <w:pStyle w:val="917"/>
            </w:pPr>
            <w:r>
              <w:t xml:space="preserve">(уполномоченное лицо)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229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54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4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(должность)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29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(подпись)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54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(расшифровка подписи)</w:t>
            </w:r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306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06" w:type="dxa"/>
            <w:vAlign w:val="center"/>
            <w:textDirection w:val="lrTb"/>
            <w:noWrap w:val="false"/>
          </w:tcPr>
          <w:p>
            <w:pPr>
              <w:pStyle w:val="917"/>
            </w:pPr>
            <w:r>
              <w:t xml:space="preserve">"__" ___________________ 20__ г.</w:t>
            </w:r>
            <w:r/>
          </w:p>
        </w:tc>
      </w:tr>
    </w:tbl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right"/>
        <w:outlineLvl w:val="1"/>
      </w:pPr>
      <w:r>
        <w:t xml:space="preserve">Приложение N 3</w:t>
      </w:r>
      <w:r/>
    </w:p>
    <w:p>
      <w:pPr>
        <w:pStyle w:val="917"/>
        <w:jc w:val="right"/>
      </w:pPr>
      <w:r>
        <w:t xml:space="preserve">к Порядку открытия казначейских счетов</w:t>
      </w:r>
      <w:r/>
    </w:p>
    <w:p>
      <w:pPr>
        <w:pStyle w:val="917"/>
        <w:jc w:val="both"/>
      </w:pPr>
      <w:r/>
      <w:r/>
    </w:p>
    <w:p>
      <w:pPr>
        <w:pStyle w:val="919"/>
        <w:jc w:val="center"/>
      </w:pPr>
      <w:r/>
      <w:bookmarkStart w:id="18" w:name="P435"/>
      <w:r/>
      <w:bookmarkEnd w:id="18"/>
      <w:r>
        <w:t xml:space="preserve">РЕКВИЗИТЫ КНИГИ РЕГИСТРАЦИИ КАЗНАЧЕЙСКИХ СЧЕТОВ</w:t>
      </w:r>
      <w:r/>
    </w:p>
    <w:p>
      <w:pPr>
        <w:pStyle w:val="917"/>
        <w:spacing w:after="1"/>
      </w:pPr>
      <w:r/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Список изменяющих документов</w:t>
            </w:r>
            <w:r/>
          </w:p>
          <w:p>
            <w:pPr>
              <w:pStyle w:val="917"/>
              <w:jc w:val="center"/>
            </w:pPr>
            <w:r>
              <w:t xml:space="preserve">(в ред. Приказа Казначейства России от 24.12.2024 N 24н)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326"/>
        <w:gridCol w:w="5669"/>
      </w:tblGrid>
      <w:tr>
        <w:tblPrEx/>
        <w:trPr/>
        <w:tc>
          <w:tcPr>
            <w:tcW w:w="3326" w:type="dxa"/>
            <w:vAlign w:val="bottom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Наименование реквизита</w:t>
            </w:r>
            <w:r/>
          </w:p>
        </w:tc>
        <w:tc>
          <w:tcPr>
            <w:tcW w:w="5669" w:type="dxa"/>
            <w:vAlign w:val="bottom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Правила формирования, заполнения реквизита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1. Наименование клиента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полное наименование (с учетом символа "N", кавычек, скобок, знаков препинания)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</w:t>
            </w:r>
            <w:r>
              <w:t xml:space="preserve">небюджетным фондом в соответствии с полным наименованием, указанным в его реестровой записи Сводного реестра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2. Код по Сводному реестру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код территориального органа Федерального казначейства, финансового органа субъекта Российской Федерации (му</w:t>
            </w:r>
            <w:r>
              <w:t xml:space="preserve">ниципального образования), органа управления государственным внебюджетным фондом по Сводному реестру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3. Код валюты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код валюты по Общероссийскому классификатору валют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4. Номер казначейского счета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номер казначейского счета</w:t>
            </w:r>
            <w:r/>
          </w:p>
        </w:tc>
      </w:tr>
      <w:tr>
        <w:tblPrEx/>
        <w:trPr/>
        <w:tc>
          <w:tcPr>
            <w:tcBorders>
              <w:bottom w:val="none" w:color="000000" w:sz="4" w:space="0"/>
            </w:tcBorders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5. Дата начала действия открываемого казначейского счета</w:t>
            </w:r>
            <w:r/>
          </w:p>
        </w:tc>
        <w:tc>
          <w:tcPr>
            <w:tcBorders>
              <w:bottom w:val="none" w:color="000000" w:sz="4" w:space="0"/>
            </w:tcBorders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дата начала действия открываемого казначейского счета в формате "день, месяц, год" (00.00.0000)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</w:tcBorders>
            <w:tcW w:w="8995" w:type="dxa"/>
            <w:textDirection w:val="lrTb"/>
            <w:noWrap w:val="false"/>
          </w:tcPr>
          <w:p>
            <w:pPr>
              <w:pStyle w:val="917"/>
              <w:jc w:val="both"/>
            </w:pPr>
            <w:r>
              <w:t xml:space="preserve">(п. 5 в ред. Приказа Казначейства России от 24.12.2024 N 24н)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6. Дата изменения реквизитов казначейского счета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дата изменения реквизитов казначейского счета в формате "день, месяц, год" (00.00.0000)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7. Дата закрытия казначейского счета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дата закрытия казначейского счета в формате "день, месяц,</w:t>
            </w:r>
            <w:r>
              <w:t xml:space="preserve"> год" (00.00.0000)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8. Примечание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Указываются причины изменения реквизитов (закрытия) </w:t>
            </w:r>
            <w:r>
              <w:t xml:space="preserve">казначейского счета</w:t>
            </w:r>
            <w:r>
              <w:t xml:space="preserve"> и иная необходимая информация о изменении реквизитов (закрытия) казначейского счета</w:t>
            </w:r>
            <w:r/>
          </w:p>
        </w:tc>
      </w:tr>
    </w:tbl>
    <w:p>
      <w:pPr>
        <w:pStyle w:val="917"/>
        <w:jc w:val="both"/>
      </w:pPr>
      <w:r/>
      <w:r/>
    </w:p>
    <w:p>
      <w:pPr>
        <w:pStyle w:val="917"/>
        <w:jc w:val="lef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</w:p>
    <w:p>
      <w:pPr>
        <w:pStyle w:val="917"/>
        <w:jc w:val="lef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917"/>
        <w:jc w:val="right"/>
        <w:rPr>
          <w:highlight w:val="none"/>
        </w:rPr>
        <w:outlineLvl w:val="1"/>
      </w:pPr>
      <w:r>
        <w:t xml:space="preserve">Приложение N 4</w:t>
      </w:r>
      <w:r>
        <w:rPr>
          <w:highlight w:val="none"/>
        </w:rPr>
      </w:r>
    </w:p>
    <w:p>
      <w:pPr>
        <w:pStyle w:val="917"/>
        <w:jc w:val="right"/>
      </w:pPr>
      <w:r>
        <w:t xml:space="preserve">к Порядку открытия казначейских счетов</w:t>
      </w:r>
      <w:r/>
    </w:p>
    <w:p>
      <w:pPr>
        <w:pStyle w:val="917"/>
        <w:jc w:val="both"/>
      </w:pPr>
      <w:r/>
      <w:r/>
    </w:p>
    <w:p>
      <w:pPr>
        <w:pStyle w:val="919"/>
        <w:jc w:val="center"/>
      </w:pPr>
      <w:r/>
      <w:bookmarkStart w:id="19" w:name="P466"/>
      <w:r/>
      <w:bookmarkEnd w:id="19"/>
      <w:r>
        <w:t xml:space="preserve">РЕКВИЗИТЫ ЗАЯВЛЕНИЯ НА ЗАКРЫТИЕ КАЗНАЧЕЙСКОГО СЧЕТА</w:t>
      </w:r>
      <w:r/>
    </w:p>
    <w:p>
      <w:pPr>
        <w:pStyle w:val="917"/>
        <w:spacing w:after="1"/>
      </w:pPr>
      <w:r/>
      <w:r/>
    </w:p>
    <w:tbl>
      <w:tblPr>
        <w:tblW w:w="5000" w:type="pct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pPr>
              <w:pStyle w:val="917"/>
            </w:pPr>
            <w:r/>
            <w:bookmarkStart w:id="20" w:name="_GoBack"/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Список изменяющих документов</w:t>
            </w:r>
            <w:r/>
          </w:p>
          <w:p>
            <w:pPr>
              <w:pStyle w:val="917"/>
              <w:jc w:val="center"/>
            </w:pPr>
            <w:r>
              <w:t xml:space="preserve">(в ред. Приказа Казначейства России от 24.12.2024 N 24н)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pPr>
              <w:pStyle w:val="917"/>
            </w:pPr>
            <w:r/>
            <w:bookmarkEnd w:id="20"/>
            <w:r/>
            <w:r/>
          </w:p>
        </w:tc>
      </w:tr>
    </w:tbl>
    <w:p>
      <w:pPr>
        <w:pStyle w:val="917"/>
        <w:jc w:val="both"/>
      </w:pPr>
      <w:r/>
      <w:r/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326"/>
        <w:gridCol w:w="5669"/>
      </w:tblGrid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Наименование реквизита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  <w:jc w:val="center"/>
            </w:pPr>
            <w:r>
              <w:t xml:space="preserve">Правила формирования, заполнения реквизита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1. Наименование клиента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полное наименование (с учетом символа "N", кавычек, скобок, знаков препинания)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</w:t>
            </w:r>
            <w:r>
              <w:t xml:space="preserve">небюджетным фондом в соответствии с полным наименованием, указанным в его реестровой записи Сводного реестра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2. ИНН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идентификационный номер налогоплательщика территориального органа Федерального казначейства, финансового органа субъекта Россий</w:t>
            </w:r>
            <w:r>
              <w:t xml:space="preserve">ской Федерации (муниципального образования), органа управления государственным внебюджетным фондом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3. КПП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код причины постановки на учет территориального органа Федерального казначейства, финансового органа субъекта Российской Федерации (муниц</w:t>
            </w:r>
            <w:r>
              <w:t xml:space="preserve">ипального образования), органа управления государственным внебюджетным фондом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4. Код по Сводному реестру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код по Сводному реестру территориального органа Федерального казначейства, финансового органа субъекта Российской Федерации (муниципальног</w:t>
            </w:r>
            <w:r>
              <w:t xml:space="preserve">о образования), органа управления государственным внебюджетным фондом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5. Код по ОКПО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код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</w:t>
            </w:r>
            <w:r>
              <w:t xml:space="preserve">рственным внебюджетным фондом по Общероссийскому классификатору предприятий и организаций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6. Код ОКТМО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код по Общероссийскому классификатору</w:t>
            </w:r>
            <w:r>
              <w:t xml:space="preserve"> территорий муниципальных </w:t>
            </w:r>
            <w:r>
              <w:t xml:space="preserve">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управления государственным внебюджетным фондом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7. Наименование закрываемого казн</w:t>
            </w:r>
            <w:r>
              <w:t xml:space="preserve">ачейского счета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наименование соответствующего вида казначейского счета (видов казначейских счетов) в соответствии с видами казначейских счетов, предусмотренными </w:t>
            </w:r>
            <w:r>
              <w:t xml:space="preserve">пунктом 2</w:t>
            </w:r>
            <w:r>
              <w:t xml:space="preserve"> настоящего Порядка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8. Номер закрываемого казначейского счета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номер закрываемого казначейского счета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9. </w:t>
            </w:r>
            <w:r>
              <w:t xml:space="preserve">Код валюты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Код валюты по Общероссийскому классификатору валют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10. Причина закрытия казначейского счета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Указывается причина закрытия казначейского счета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11. Реквизиты для перечисления средств, поступивших после закрытия казначейского счета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Указываются ном</w:t>
            </w:r>
            <w:r>
              <w:t xml:space="preserve">ер счета и его реквизиты для перечисления средств, поступивших после закрытия казначейского счета</w:t>
            </w:r>
            <w:r/>
          </w:p>
        </w:tc>
      </w:tr>
      <w:tr>
        <w:tblPrEx/>
        <w:trPr/>
        <w:tc>
          <w:tcPr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12. Руководитель клиента (уполномоченное лицо)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Указываются фамилия, имя, отчество (полностью) руководителя (уполномоченного лица)</w:t>
            </w:r>
            <w:r/>
          </w:p>
        </w:tc>
      </w:tr>
      <w:tr>
        <w:tblPrEx/>
        <w:trPr/>
        <w:tc>
          <w:tcPr>
            <w:tcBorders>
              <w:bottom w:val="none" w:color="000000" w:sz="4" w:space="0"/>
            </w:tcBorders>
            <w:tcW w:w="3326" w:type="dxa"/>
            <w:textDirection w:val="lrTb"/>
            <w:noWrap w:val="false"/>
          </w:tcPr>
          <w:p>
            <w:pPr>
              <w:pStyle w:val="917"/>
            </w:pPr>
            <w:r>
              <w:t xml:space="preserve">13. Главный бухгалтер клие</w:t>
            </w:r>
            <w:r>
              <w:t xml:space="preserve">нта (уполномоченное лицо) </w:t>
            </w:r>
            <w:r>
              <w:t xml:space="preserve">&lt;3&gt;</w:t>
            </w:r>
            <w:r/>
          </w:p>
        </w:tc>
        <w:tc>
          <w:tcPr>
            <w:tcBorders>
              <w:bottom w:val="none" w:color="000000" w:sz="4" w:space="0"/>
            </w:tcBorders>
            <w:tcW w:w="5669" w:type="dxa"/>
            <w:textDirection w:val="lrTb"/>
            <w:noWrap w:val="false"/>
          </w:tcPr>
          <w:p>
            <w:pPr>
              <w:pStyle w:val="917"/>
            </w:pPr>
            <w:r>
              <w:t xml:space="preserve">Указываются фамилия, имя, отчество (полностью) главного бухгалтера (у</w:t>
            </w:r>
            <w:r>
              <w:t xml:space="preserve">полномоченного лица)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</w:tcBorders>
            <w:tcW w:w="8995" w:type="dxa"/>
            <w:textDirection w:val="lrTb"/>
            <w:noWrap w:val="false"/>
          </w:tcPr>
          <w:p>
            <w:pPr>
              <w:pStyle w:val="917"/>
              <w:jc w:val="both"/>
            </w:pPr>
            <w:r>
              <w:t xml:space="preserve">(п. 13 в ред. Приказа Казначейства России от 24.12.2024 N 24н)</w:t>
            </w:r>
            <w:r/>
          </w:p>
        </w:tc>
      </w:tr>
    </w:tbl>
    <w:p>
      <w:pPr>
        <w:pStyle w:val="917"/>
        <w:jc w:val="both"/>
      </w:pPr>
      <w:r/>
      <w:r/>
    </w:p>
    <w:p>
      <w:pPr>
        <w:pStyle w:val="917"/>
        <w:ind w:firstLine="540"/>
        <w:jc w:val="both"/>
      </w:pPr>
      <w:r>
        <w:t xml:space="preserve">--------------------------------</w:t>
      </w:r>
      <w:r/>
    </w:p>
    <w:p>
      <w:pPr>
        <w:pStyle w:val="917"/>
        <w:ind w:firstLine="540"/>
        <w:jc w:val="both"/>
        <w:spacing w:before="240"/>
      </w:pPr>
      <w:r/>
      <w:bookmarkStart w:id="21" w:name="P501"/>
      <w:r/>
      <w:bookmarkEnd w:id="21"/>
      <w:r>
        <w:t xml:space="preserve">&lt;3&gt; Заполняется при предоставлении Заявления на открытие казначейского счета территориальному органу Федерального казначейства.</w:t>
      </w:r>
      <w:r/>
    </w:p>
    <w:p>
      <w:pPr>
        <w:pStyle w:val="917"/>
        <w:jc w:val="both"/>
      </w:pPr>
      <w:r>
        <w:t xml:space="preserve">(сноска введена Приказом Казначейства России от 24.12.2024 N 24н)</w:t>
      </w:r>
      <w:r/>
    </w:p>
    <w:p>
      <w:pPr>
        <w:pStyle w:val="917"/>
        <w:jc w:val="both"/>
      </w:pPr>
      <w:r/>
      <w:r/>
    </w:p>
    <w:p>
      <w:pPr>
        <w:pStyle w:val="917"/>
        <w:jc w:val="both"/>
      </w:pPr>
      <w:r/>
      <w:r/>
    </w:p>
    <w:p>
      <w:pPr>
        <w:pStyle w:val="917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Style w:val="917"/>
      </w:pPr>
      <w:r>
        <w:separator/>
      </w:r>
      <w:r/>
    </w:p>
  </w:endnote>
  <w:endnote w:type="continuationSeparator" w:id="0">
    <w:p>
      <w:pPr>
        <w:pStyle w:val="917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17"/>
      </w:pPr>
      <w:r>
        <w:separator/>
      </w:r>
      <w:r/>
    </w:p>
  </w:footnote>
  <w:footnote w:type="continuationSeparator" w:id="0">
    <w:p>
      <w:pPr>
        <w:pStyle w:val="917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>
      <w:tblPrEx/>
      <w:trPr>
        <w:trHeight w:val="142" w:hRule="exact"/>
      </w:trPr>
      <w:tc>
        <w:tcPr>
          <w:tcW w:w="2700" w:type="pct"/>
          <w:vAlign w:val="center"/>
          <w:textDirection w:val="lrTb"/>
          <w:noWrap w:val="false"/>
        </w:tcPr>
        <w:p>
          <w:pPr>
            <w:pStyle w:val="917"/>
            <w:rPr>
              <w:rFonts w:ascii="Tahoma" w:hAnsi="Tahoma" w:cs="Tahoma"/>
            </w:rPr>
          </w:pPr>
          <w:r>
            <w:rPr>
              <w:rFonts w:ascii="Tahoma" w:hAnsi="Tahoma" w:cs="Tahoma"/>
            </w:rPr>
          </w:r>
          <w:r>
            <w:rPr>
              <w:rFonts w:ascii="Tahoma" w:hAnsi="Tahoma" w:cs="Tahoma"/>
            </w:rPr>
          </w:r>
          <w:r>
            <w:rPr>
              <w:rFonts w:ascii="Tahoma" w:hAnsi="Tahoma" w:cs="Tahoma"/>
            </w:rPr>
          </w:r>
        </w:p>
      </w:tc>
      <w:tc>
        <w:tcPr>
          <w:tcW w:w="2300" w:type="pct"/>
          <w:vAlign w:val="center"/>
          <w:textDirection w:val="lrTb"/>
          <w:noWrap w:val="false"/>
        </w:tcPr>
        <w:p>
          <w:pPr>
            <w:pStyle w:val="917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</w:r>
          <w:r>
            <w:rPr>
              <w:rFonts w:ascii="Tahoma" w:hAnsi="Tahoma" w:cs="Tahoma"/>
            </w:rPr>
          </w:r>
          <w:r>
            <w:rPr>
              <w:rFonts w:ascii="Tahoma" w:hAnsi="Tahoma" w:cs="Tahoma"/>
            </w:rPr>
          </w:r>
        </w:p>
      </w:tc>
    </w:tr>
  </w:tbl>
  <w:p>
    <w:pPr>
      <w:pStyle w:val="91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8">
    <w:name w:val="Heading 1 Char"/>
    <w:basedOn w:val="745"/>
    <w:link w:val="736"/>
    <w:uiPriority w:val="9"/>
    <w:rPr>
      <w:rFonts w:ascii="Arial" w:hAnsi="Arial" w:eastAsia="Arial" w:cs="Arial"/>
      <w:sz w:val="40"/>
      <w:szCs w:val="40"/>
    </w:rPr>
  </w:style>
  <w:style w:type="character" w:styleId="719">
    <w:name w:val="Heading 2 Char"/>
    <w:basedOn w:val="745"/>
    <w:link w:val="737"/>
    <w:uiPriority w:val="9"/>
    <w:rPr>
      <w:rFonts w:ascii="Arial" w:hAnsi="Arial" w:eastAsia="Arial" w:cs="Arial"/>
      <w:sz w:val="34"/>
    </w:rPr>
  </w:style>
  <w:style w:type="character" w:styleId="720">
    <w:name w:val="Heading 3 Char"/>
    <w:basedOn w:val="745"/>
    <w:link w:val="738"/>
    <w:uiPriority w:val="9"/>
    <w:rPr>
      <w:rFonts w:ascii="Arial" w:hAnsi="Arial" w:eastAsia="Arial" w:cs="Arial"/>
      <w:sz w:val="30"/>
      <w:szCs w:val="30"/>
    </w:rPr>
  </w:style>
  <w:style w:type="character" w:styleId="721">
    <w:name w:val="Heading 4 Char"/>
    <w:basedOn w:val="745"/>
    <w:link w:val="739"/>
    <w:uiPriority w:val="9"/>
    <w:rPr>
      <w:rFonts w:ascii="Arial" w:hAnsi="Arial" w:eastAsia="Arial" w:cs="Arial"/>
      <w:b/>
      <w:bCs/>
      <w:sz w:val="26"/>
      <w:szCs w:val="26"/>
    </w:rPr>
  </w:style>
  <w:style w:type="character" w:styleId="722">
    <w:name w:val="Heading 5 Char"/>
    <w:basedOn w:val="745"/>
    <w:link w:val="740"/>
    <w:uiPriority w:val="9"/>
    <w:rPr>
      <w:rFonts w:ascii="Arial" w:hAnsi="Arial" w:eastAsia="Arial" w:cs="Arial"/>
      <w:b/>
      <w:bCs/>
      <w:sz w:val="24"/>
      <w:szCs w:val="24"/>
    </w:rPr>
  </w:style>
  <w:style w:type="character" w:styleId="723">
    <w:name w:val="Heading 6 Char"/>
    <w:basedOn w:val="745"/>
    <w:link w:val="741"/>
    <w:uiPriority w:val="9"/>
    <w:rPr>
      <w:rFonts w:ascii="Arial" w:hAnsi="Arial" w:eastAsia="Arial" w:cs="Arial"/>
      <w:b/>
      <w:bCs/>
      <w:sz w:val="22"/>
      <w:szCs w:val="22"/>
    </w:rPr>
  </w:style>
  <w:style w:type="character" w:styleId="724">
    <w:name w:val="Heading 7 Char"/>
    <w:basedOn w:val="745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8 Char"/>
    <w:basedOn w:val="745"/>
    <w:link w:val="743"/>
    <w:uiPriority w:val="9"/>
    <w:rPr>
      <w:rFonts w:ascii="Arial" w:hAnsi="Arial" w:eastAsia="Arial" w:cs="Arial"/>
      <w:i/>
      <w:iCs/>
      <w:sz w:val="22"/>
      <w:szCs w:val="22"/>
    </w:rPr>
  </w:style>
  <w:style w:type="character" w:styleId="726">
    <w:name w:val="Heading 9 Char"/>
    <w:basedOn w:val="745"/>
    <w:link w:val="744"/>
    <w:uiPriority w:val="9"/>
    <w:rPr>
      <w:rFonts w:ascii="Arial" w:hAnsi="Arial" w:eastAsia="Arial" w:cs="Arial"/>
      <w:i/>
      <w:iCs/>
      <w:sz w:val="21"/>
      <w:szCs w:val="21"/>
    </w:rPr>
  </w:style>
  <w:style w:type="character" w:styleId="727">
    <w:name w:val="Title Char"/>
    <w:basedOn w:val="745"/>
    <w:link w:val="759"/>
    <w:uiPriority w:val="10"/>
    <w:rPr>
      <w:sz w:val="48"/>
      <w:szCs w:val="48"/>
    </w:rPr>
  </w:style>
  <w:style w:type="character" w:styleId="728">
    <w:name w:val="Subtitle Char"/>
    <w:basedOn w:val="745"/>
    <w:link w:val="761"/>
    <w:uiPriority w:val="11"/>
    <w:rPr>
      <w:sz w:val="24"/>
      <w:szCs w:val="24"/>
    </w:rPr>
  </w:style>
  <w:style w:type="character" w:styleId="729">
    <w:name w:val="Quote Char"/>
    <w:link w:val="763"/>
    <w:uiPriority w:val="29"/>
    <w:rPr>
      <w:i/>
    </w:rPr>
  </w:style>
  <w:style w:type="character" w:styleId="730">
    <w:name w:val="Intense Quote Char"/>
    <w:link w:val="765"/>
    <w:uiPriority w:val="30"/>
    <w:rPr>
      <w:i/>
    </w:rPr>
  </w:style>
  <w:style w:type="character" w:styleId="731">
    <w:name w:val="Header Char"/>
    <w:basedOn w:val="745"/>
    <w:link w:val="767"/>
    <w:uiPriority w:val="99"/>
  </w:style>
  <w:style w:type="character" w:styleId="732">
    <w:name w:val="Caption Char"/>
    <w:basedOn w:val="771"/>
    <w:link w:val="769"/>
    <w:uiPriority w:val="99"/>
  </w:style>
  <w:style w:type="character" w:styleId="733">
    <w:name w:val="Footnote Text Char"/>
    <w:link w:val="900"/>
    <w:uiPriority w:val="99"/>
    <w:rPr>
      <w:sz w:val="18"/>
    </w:rPr>
  </w:style>
  <w:style w:type="character" w:styleId="734">
    <w:name w:val="Endnote Text Char"/>
    <w:link w:val="903"/>
    <w:uiPriority w:val="99"/>
    <w:rPr>
      <w:sz w:val="20"/>
    </w:rPr>
  </w:style>
  <w:style w:type="paragraph" w:styleId="735" w:default="1">
    <w:name w:val="Normal"/>
    <w:qFormat/>
  </w:style>
  <w:style w:type="paragraph" w:styleId="736">
    <w:name w:val="Heading 1"/>
    <w:basedOn w:val="735"/>
    <w:next w:val="735"/>
    <w:link w:val="74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7">
    <w:name w:val="Heading 2"/>
    <w:basedOn w:val="735"/>
    <w:next w:val="735"/>
    <w:link w:val="7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8">
    <w:name w:val="Heading 3"/>
    <w:basedOn w:val="735"/>
    <w:next w:val="735"/>
    <w:link w:val="7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9">
    <w:name w:val="Heading 4"/>
    <w:basedOn w:val="735"/>
    <w:next w:val="735"/>
    <w:link w:val="7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735"/>
    <w:next w:val="735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1">
    <w:name w:val="Heading 6"/>
    <w:basedOn w:val="735"/>
    <w:next w:val="735"/>
    <w:link w:val="7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2">
    <w:name w:val="Heading 7"/>
    <w:basedOn w:val="735"/>
    <w:next w:val="735"/>
    <w:link w:val="75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3">
    <w:name w:val="Heading 8"/>
    <w:basedOn w:val="735"/>
    <w:next w:val="735"/>
    <w:link w:val="7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4">
    <w:name w:val="Heading 9"/>
    <w:basedOn w:val="735"/>
    <w:next w:val="735"/>
    <w:link w:val="75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5" w:default="1">
    <w:name w:val="Default Paragraph Font"/>
    <w:uiPriority w:val="1"/>
    <w:semiHidden/>
    <w:unhideWhenUsed/>
  </w:style>
  <w:style w:type="table" w:styleId="7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7" w:default="1">
    <w:name w:val="No List"/>
    <w:uiPriority w:val="99"/>
    <w:semiHidden/>
    <w:unhideWhenUsed/>
  </w:style>
  <w:style w:type="character" w:styleId="748" w:customStyle="1">
    <w:name w:val="Заголовок 1 Знак"/>
    <w:link w:val="736"/>
    <w:uiPriority w:val="9"/>
    <w:rPr>
      <w:rFonts w:ascii="Arial" w:hAnsi="Arial" w:eastAsia="Arial" w:cs="Arial"/>
      <w:sz w:val="40"/>
      <w:szCs w:val="40"/>
    </w:rPr>
  </w:style>
  <w:style w:type="character" w:styleId="749" w:customStyle="1">
    <w:name w:val="Заголовок 2 Знак"/>
    <w:link w:val="737"/>
    <w:uiPriority w:val="9"/>
    <w:rPr>
      <w:rFonts w:ascii="Arial" w:hAnsi="Arial" w:eastAsia="Arial" w:cs="Arial"/>
      <w:sz w:val="34"/>
    </w:rPr>
  </w:style>
  <w:style w:type="character" w:styleId="750" w:customStyle="1">
    <w:name w:val="Заголовок 3 Знак"/>
    <w:link w:val="738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Заголовок 4 Знак"/>
    <w:link w:val="739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Заголовок 5 Знак"/>
    <w:link w:val="740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Заголовок 6 Знак"/>
    <w:link w:val="741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Заголовок 7 Знак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Заголовок 8 Знак"/>
    <w:link w:val="743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Заголовок 9 Знак"/>
    <w:link w:val="744"/>
    <w:uiPriority w:val="9"/>
    <w:rPr>
      <w:rFonts w:ascii="Arial" w:hAnsi="Arial" w:eastAsia="Arial" w:cs="Arial"/>
      <w:i/>
      <w:iCs/>
      <w:sz w:val="21"/>
      <w:szCs w:val="21"/>
    </w:rPr>
  </w:style>
  <w:style w:type="paragraph" w:styleId="757">
    <w:name w:val="List Paragraph"/>
    <w:basedOn w:val="735"/>
    <w:uiPriority w:val="34"/>
    <w:qFormat/>
    <w:pPr>
      <w:contextualSpacing/>
      <w:ind w:left="720"/>
    </w:pPr>
  </w:style>
  <w:style w:type="paragraph" w:styleId="758">
    <w:name w:val="No Spacing"/>
    <w:uiPriority w:val="1"/>
    <w:qFormat/>
  </w:style>
  <w:style w:type="paragraph" w:styleId="759">
    <w:name w:val="Title"/>
    <w:basedOn w:val="735"/>
    <w:next w:val="735"/>
    <w:link w:val="76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0" w:customStyle="1">
    <w:name w:val="Название Знак"/>
    <w:link w:val="759"/>
    <w:uiPriority w:val="10"/>
    <w:rPr>
      <w:sz w:val="48"/>
      <w:szCs w:val="48"/>
    </w:rPr>
  </w:style>
  <w:style w:type="paragraph" w:styleId="761">
    <w:name w:val="Subtitle"/>
    <w:basedOn w:val="735"/>
    <w:next w:val="735"/>
    <w:link w:val="762"/>
    <w:uiPriority w:val="11"/>
    <w:qFormat/>
    <w:pPr>
      <w:spacing w:before="200" w:after="200"/>
    </w:pPr>
    <w:rPr>
      <w:sz w:val="24"/>
      <w:szCs w:val="24"/>
    </w:rPr>
  </w:style>
  <w:style w:type="character" w:styleId="762" w:customStyle="1">
    <w:name w:val="Подзаголовок Знак"/>
    <w:link w:val="761"/>
    <w:uiPriority w:val="11"/>
    <w:rPr>
      <w:sz w:val="24"/>
      <w:szCs w:val="24"/>
    </w:rPr>
  </w:style>
  <w:style w:type="paragraph" w:styleId="763">
    <w:name w:val="Quote"/>
    <w:basedOn w:val="735"/>
    <w:next w:val="735"/>
    <w:link w:val="764"/>
    <w:uiPriority w:val="29"/>
    <w:qFormat/>
    <w:pPr>
      <w:ind w:left="720" w:right="720"/>
    </w:pPr>
    <w:rPr>
      <w:i/>
    </w:rPr>
  </w:style>
  <w:style w:type="character" w:styleId="764" w:customStyle="1">
    <w:name w:val="Цитата 2 Знак"/>
    <w:link w:val="763"/>
    <w:uiPriority w:val="29"/>
    <w:rPr>
      <w:i/>
    </w:rPr>
  </w:style>
  <w:style w:type="paragraph" w:styleId="765">
    <w:name w:val="Intense Quote"/>
    <w:basedOn w:val="735"/>
    <w:next w:val="735"/>
    <w:link w:val="76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6" w:customStyle="1">
    <w:name w:val="Выделенная цитата Знак"/>
    <w:link w:val="765"/>
    <w:uiPriority w:val="30"/>
    <w:rPr>
      <w:i/>
    </w:rPr>
  </w:style>
  <w:style w:type="paragraph" w:styleId="767">
    <w:name w:val="Header"/>
    <w:basedOn w:val="735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8" w:customStyle="1">
    <w:name w:val="Верхний колонтитул Знак"/>
    <w:link w:val="767"/>
    <w:uiPriority w:val="99"/>
  </w:style>
  <w:style w:type="paragraph" w:styleId="769">
    <w:name w:val="Footer"/>
    <w:basedOn w:val="735"/>
    <w:link w:val="77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0" w:customStyle="1">
    <w:name w:val="Footer Char"/>
    <w:uiPriority w:val="99"/>
  </w:style>
  <w:style w:type="paragraph" w:styleId="771">
    <w:name w:val="Caption"/>
    <w:basedOn w:val="735"/>
    <w:next w:val="735"/>
    <w:link w:val="7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2" w:customStyle="1">
    <w:name w:val="Нижний колонтитул Знак"/>
    <w:link w:val="769"/>
    <w:uiPriority w:val="99"/>
  </w:style>
  <w:style w:type="table" w:styleId="773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4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5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9">
    <w:name w:val="Hyperlink"/>
    <w:uiPriority w:val="99"/>
    <w:unhideWhenUsed/>
    <w:rPr>
      <w:color w:val="0000ff" w:themeColor="hyperlink"/>
      <w:u w:val="single"/>
    </w:rPr>
  </w:style>
  <w:style w:type="paragraph" w:styleId="900">
    <w:name w:val="footnote text"/>
    <w:basedOn w:val="735"/>
    <w:link w:val="901"/>
    <w:uiPriority w:val="99"/>
    <w:semiHidden/>
    <w:unhideWhenUsed/>
    <w:pPr>
      <w:spacing w:after="40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uiPriority w:val="99"/>
    <w:unhideWhenUsed/>
    <w:rPr>
      <w:vertAlign w:val="superscript"/>
    </w:rPr>
  </w:style>
  <w:style w:type="paragraph" w:styleId="903">
    <w:name w:val="endnote text"/>
    <w:basedOn w:val="735"/>
    <w:link w:val="904"/>
    <w:uiPriority w:val="99"/>
    <w:semiHidden/>
    <w:unhideWhenUsed/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uiPriority w:val="99"/>
    <w:semiHidden/>
    <w:unhideWhenUsed/>
    <w:rPr>
      <w:vertAlign w:val="superscript"/>
    </w:rPr>
  </w:style>
  <w:style w:type="paragraph" w:styleId="906">
    <w:name w:val="toc 1"/>
    <w:basedOn w:val="735"/>
    <w:next w:val="735"/>
    <w:uiPriority w:val="39"/>
    <w:unhideWhenUsed/>
    <w:pPr>
      <w:spacing w:after="57"/>
    </w:pPr>
  </w:style>
  <w:style w:type="paragraph" w:styleId="907">
    <w:name w:val="toc 2"/>
    <w:basedOn w:val="735"/>
    <w:next w:val="735"/>
    <w:uiPriority w:val="39"/>
    <w:unhideWhenUsed/>
    <w:pPr>
      <w:ind w:left="283"/>
      <w:spacing w:after="57"/>
    </w:pPr>
  </w:style>
  <w:style w:type="paragraph" w:styleId="908">
    <w:name w:val="toc 3"/>
    <w:basedOn w:val="735"/>
    <w:next w:val="735"/>
    <w:uiPriority w:val="39"/>
    <w:unhideWhenUsed/>
    <w:pPr>
      <w:ind w:left="567"/>
      <w:spacing w:after="57"/>
    </w:pPr>
  </w:style>
  <w:style w:type="paragraph" w:styleId="909">
    <w:name w:val="toc 4"/>
    <w:basedOn w:val="735"/>
    <w:next w:val="735"/>
    <w:uiPriority w:val="39"/>
    <w:unhideWhenUsed/>
    <w:pPr>
      <w:ind w:left="850"/>
      <w:spacing w:after="57"/>
    </w:pPr>
  </w:style>
  <w:style w:type="paragraph" w:styleId="910">
    <w:name w:val="toc 5"/>
    <w:basedOn w:val="735"/>
    <w:next w:val="735"/>
    <w:uiPriority w:val="39"/>
    <w:unhideWhenUsed/>
    <w:pPr>
      <w:ind w:left="1134"/>
      <w:spacing w:after="57"/>
    </w:pPr>
  </w:style>
  <w:style w:type="paragraph" w:styleId="911">
    <w:name w:val="toc 6"/>
    <w:basedOn w:val="735"/>
    <w:next w:val="735"/>
    <w:uiPriority w:val="39"/>
    <w:unhideWhenUsed/>
    <w:pPr>
      <w:ind w:left="1417"/>
      <w:spacing w:after="57"/>
    </w:pPr>
  </w:style>
  <w:style w:type="paragraph" w:styleId="912">
    <w:name w:val="toc 7"/>
    <w:basedOn w:val="735"/>
    <w:next w:val="735"/>
    <w:uiPriority w:val="39"/>
    <w:unhideWhenUsed/>
    <w:pPr>
      <w:ind w:left="1701"/>
      <w:spacing w:after="57"/>
    </w:pPr>
  </w:style>
  <w:style w:type="paragraph" w:styleId="913">
    <w:name w:val="toc 8"/>
    <w:basedOn w:val="735"/>
    <w:next w:val="735"/>
    <w:uiPriority w:val="39"/>
    <w:unhideWhenUsed/>
    <w:pPr>
      <w:ind w:left="1984"/>
      <w:spacing w:after="57"/>
    </w:pPr>
  </w:style>
  <w:style w:type="paragraph" w:styleId="914">
    <w:name w:val="toc 9"/>
    <w:basedOn w:val="735"/>
    <w:next w:val="735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35"/>
    <w:next w:val="735"/>
    <w:uiPriority w:val="99"/>
    <w:unhideWhenUsed/>
  </w:style>
  <w:style w:type="paragraph" w:styleId="917" w:customStyle="1">
    <w:name w:val="ConsPlusNormal"/>
    <w:pPr>
      <w:widowControl w:val="off"/>
    </w:pPr>
    <w:rPr>
      <w:sz w:val="24"/>
    </w:rPr>
  </w:style>
  <w:style w:type="paragraph" w:styleId="918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19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920" w:customStyle="1">
    <w:name w:val="ConsPlusCell"/>
    <w:pPr>
      <w:widowControl w:val="off"/>
    </w:pPr>
    <w:rPr>
      <w:rFonts w:ascii="Courier New" w:hAnsi="Courier New" w:cs="Courier New"/>
    </w:rPr>
  </w:style>
  <w:style w:type="paragraph" w:styleId="921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922" w:customStyle="1">
    <w:name w:val="ConsPlusTitlePage"/>
    <w:pPr>
      <w:widowControl w:val="off"/>
    </w:pPr>
    <w:rPr>
      <w:rFonts w:ascii="Tahoma" w:hAnsi="Tahoma" w:cs="Tahoma"/>
    </w:rPr>
  </w:style>
  <w:style w:type="paragraph" w:styleId="923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924" w:customStyle="1">
    <w:name w:val="ConsPlusTextList"/>
    <w:pPr>
      <w:widowControl w:val="off"/>
    </w:pPr>
    <w:rPr>
      <w:sz w:val="24"/>
    </w:rPr>
  </w:style>
  <w:style w:type="paragraph" w:styleId="925" w:customStyle="1">
    <w:name w:val="ConsPlusTextList"/>
    <w:pPr>
      <w:widowControl w:val="off"/>
    </w:pPr>
    <w:rPr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КонсультантПлюс Версия 4024.00.50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Казначейства России от 01.04.2020 N 15н
(ред. от 28.11.2025)
"О Порядке открытия казначейских счетов"
(Зарегистрировано в Минюсте России 07.05.2020 N 58280)</dc:title>
  <cp:lastModifiedBy>Томилов Константин Юрьевич</cp:lastModifiedBy>
  <cp:revision>5</cp:revision>
  <dcterms:created xsi:type="dcterms:W3CDTF">2026-07-10T04:35:00Z</dcterms:created>
  <dcterms:modified xsi:type="dcterms:W3CDTF">2026-07-10T10:36:30Z</dcterms:modified>
</cp:coreProperties>
</file>